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88C" w:rsidRDefault="0034788C" w:rsidP="0034788C">
      <w:pPr>
        <w:pStyle w:val="NoSpacing"/>
        <w:jc w:val="center"/>
      </w:pPr>
      <w:r>
        <w:rPr>
          <w:noProof/>
          <w:lang w:eastAsia="en-US"/>
        </w:rPr>
        <w:drawing>
          <wp:inline distT="0" distB="0" distL="0" distR="0" wp14:anchorId="53A31CEC" wp14:editId="33995C4E">
            <wp:extent cx="2305685" cy="1149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8260" cy="1150417"/>
                    </a:xfrm>
                    <a:prstGeom prst="rect">
                      <a:avLst/>
                    </a:prstGeom>
                    <a:solidFill>
                      <a:srgbClr val="FFFFFF"/>
                    </a:solidFill>
                    <a:ln>
                      <a:noFill/>
                    </a:ln>
                  </pic:spPr>
                </pic:pic>
              </a:graphicData>
            </a:graphic>
          </wp:inline>
        </w:drawing>
      </w:r>
      <w:r>
        <w:t xml:space="preserve">                          </w:t>
      </w:r>
      <w:r>
        <w:rPr>
          <w:noProof/>
          <w:lang w:eastAsia="en-US"/>
        </w:rPr>
        <w:drawing>
          <wp:inline distT="0" distB="0" distL="0" distR="0" wp14:anchorId="1D76FC9F" wp14:editId="78C622E5">
            <wp:extent cx="4762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solidFill>
                      <a:srgbClr val="FFFFFF"/>
                    </a:solidFill>
                    <a:ln>
                      <a:noFill/>
                    </a:ln>
                  </pic:spPr>
                </pic:pic>
              </a:graphicData>
            </a:graphic>
          </wp:inline>
        </w:drawing>
      </w:r>
    </w:p>
    <w:p w:rsidR="0034788C" w:rsidRPr="0034788C" w:rsidRDefault="0034788C" w:rsidP="0034788C">
      <w:pPr>
        <w:pStyle w:val="NoSpacing"/>
        <w:jc w:val="center"/>
        <w:rPr>
          <w:rFonts w:ascii="Bookman Old Style" w:hAnsi="Bookman Old Style" w:cs="Bookman Old Style"/>
          <w:b/>
          <w:u w:val="single"/>
        </w:rPr>
      </w:pPr>
      <w:bookmarkStart w:id="0" w:name="_GoBack"/>
      <w:r w:rsidRPr="0034788C">
        <w:rPr>
          <w:rFonts w:ascii="Bookman Old Style" w:hAnsi="Bookman Old Style" w:cs="Bookman Old Style"/>
          <w:b/>
          <w:sz w:val="32"/>
          <w:szCs w:val="32"/>
        </w:rPr>
        <w:t>POSTCARD PARTY 164           MARCH 13, 2020</w:t>
      </w:r>
    </w:p>
    <w:bookmarkEnd w:id="0"/>
    <w:p w:rsidR="0034788C" w:rsidRDefault="0034788C" w:rsidP="0034788C">
      <w:pPr>
        <w:pStyle w:val="NoSpacing"/>
        <w:rPr>
          <w:bCs/>
          <w:sz w:val="22"/>
          <w:szCs w:val="22"/>
        </w:rPr>
      </w:pPr>
      <w:r>
        <w:rPr>
          <w:rFonts w:ascii="Bookman Old Style" w:hAnsi="Bookman Old Style" w:cs="Bookman Old Style"/>
          <w:u w:val="single"/>
        </w:rPr>
        <w:t xml:space="preserve"> </w:t>
      </w:r>
    </w:p>
    <w:p w:rsidR="0034788C" w:rsidRPr="0034788C" w:rsidRDefault="0034788C" w:rsidP="0034788C">
      <w:pPr>
        <w:pStyle w:val="NoSpacing"/>
        <w:rPr>
          <w:rFonts w:ascii="Bookman Old Style" w:hAnsi="Bookman Old Style"/>
        </w:rPr>
      </w:pPr>
      <w:r w:rsidRPr="0034788C">
        <w:rPr>
          <w:rFonts w:ascii="Bookman Old Style" w:hAnsi="Bookman Old Style"/>
          <w:bCs/>
        </w:rPr>
        <w:t xml:space="preserve">Arctic Lands Lose More Tracts to Development  </w:t>
      </w:r>
    </w:p>
    <w:p w:rsidR="0034788C" w:rsidRPr="0034788C" w:rsidRDefault="0034788C" w:rsidP="0034788C">
      <w:pPr>
        <w:pStyle w:val="NoSpacing"/>
        <w:rPr>
          <w:rFonts w:ascii="Bookman Old Style" w:hAnsi="Bookman Old Style"/>
          <w:bCs/>
        </w:rPr>
      </w:pPr>
      <w:r w:rsidRPr="0034788C">
        <w:rPr>
          <w:rFonts w:ascii="Bookman Old Style" w:hAnsi="Bookman Old Style"/>
        </w:rPr>
        <w:t>A late 2019 Bureau of Land Management Environmental Impact Statement noted that the Trump Administration has plans to open more tracts to oil development and further reduce protections to land and wildlife in the vulnerable Arctic. North Slope Exploration, yet another newly formed company, has leased one million acres with 83 oil leases from the Bureau of Land Management. The Sierra Club yesterday issued this statement: “Last week Wells Fargo released an update to its environmental policy that rules out funding for oil and gas projects in the Arctic region, including the Arctic National Wildlife Refuge. The release of this change to the bank’s policy comes in the wake of similar announcements by Goldman Sachs, JP Morgan Chase as well as more than a dozen other global banks. The pressure is working, so let’s keep it up.”</w:t>
      </w:r>
    </w:p>
    <w:p w:rsidR="0034788C" w:rsidRPr="0034788C" w:rsidRDefault="0034788C" w:rsidP="0034788C">
      <w:pPr>
        <w:pStyle w:val="NoSpacing"/>
        <w:rPr>
          <w:rFonts w:ascii="Bookman Old Style" w:hAnsi="Bookman Old Style"/>
        </w:rPr>
      </w:pPr>
      <w:r w:rsidRPr="0034788C">
        <w:rPr>
          <w:rFonts w:ascii="Bookman Old Style" w:hAnsi="Bookman Old Style"/>
          <w:bCs/>
        </w:rPr>
        <w:t>Action:</w:t>
      </w:r>
      <w:r w:rsidRPr="0034788C">
        <w:rPr>
          <w:rFonts w:ascii="Bookman Old Style" w:hAnsi="Bookman Old Style"/>
        </w:rPr>
        <w:t xml:space="preserve"> Write, text, or mail CEOs of Citigroup, Bank of America and Morgan Stanley to follow their competitors’ example of global climate action by refusing to fund further projects in the sensitive and important Arctic Refuge.   </w:t>
      </w:r>
    </w:p>
    <w:p w:rsidR="0034788C" w:rsidRPr="0034788C" w:rsidRDefault="0034788C" w:rsidP="0034788C">
      <w:pPr>
        <w:pStyle w:val="NoSpacing"/>
        <w:rPr>
          <w:rFonts w:ascii="Bookman Old Style" w:hAnsi="Bookman Old Style"/>
        </w:rPr>
      </w:pPr>
      <w:r w:rsidRPr="0034788C">
        <w:rPr>
          <w:rFonts w:ascii="Bookman Old Style" w:hAnsi="Bookman Old Style"/>
        </w:rPr>
        <w:t xml:space="preserve">Citigroup:  Mr. Michael Corbat, CEO 399 Park Avenue, New York, NY </w:t>
      </w:r>
      <w:proofErr w:type="gramStart"/>
      <w:r w:rsidRPr="0034788C">
        <w:rPr>
          <w:rFonts w:ascii="Bookman Old Style" w:hAnsi="Bookman Old Style"/>
        </w:rPr>
        <w:t xml:space="preserve">10043  </w:t>
      </w:r>
      <w:proofErr w:type="gramEnd"/>
      <w:r w:rsidRPr="0034788C">
        <w:rPr>
          <w:rFonts w:ascii="Bookman Old Style" w:hAnsi="Bookman Old Style"/>
        </w:rPr>
        <w:fldChar w:fldCharType="begin"/>
      </w:r>
      <w:r w:rsidRPr="0034788C">
        <w:rPr>
          <w:rFonts w:ascii="Bookman Old Style" w:hAnsi="Bookman Old Style"/>
        </w:rPr>
        <w:instrText xml:space="preserve"> HYPERLINK "mailto:michael.l.corbat@citi.com"</w:instrText>
      </w:r>
      <w:r w:rsidRPr="0034788C">
        <w:rPr>
          <w:rFonts w:ascii="Bookman Old Style" w:hAnsi="Bookman Old Style"/>
        </w:rPr>
      </w:r>
      <w:r w:rsidRPr="0034788C">
        <w:rPr>
          <w:rFonts w:ascii="Bookman Old Style" w:hAnsi="Bookman Old Style"/>
        </w:rPr>
        <w:fldChar w:fldCharType="separate"/>
      </w:r>
      <w:r w:rsidRPr="0034788C">
        <w:rPr>
          <w:rStyle w:val="Hyperlink"/>
          <w:rFonts w:ascii="Bookman Old Style" w:hAnsi="Bookman Old Style"/>
        </w:rPr>
        <w:t>michael.l.corbat@citi.com</w:t>
      </w:r>
      <w:r w:rsidRPr="0034788C">
        <w:rPr>
          <w:rFonts w:ascii="Bookman Old Style" w:hAnsi="Bookman Old Style"/>
        </w:rPr>
        <w:fldChar w:fldCharType="end"/>
      </w:r>
    </w:p>
    <w:p w:rsidR="0034788C" w:rsidRPr="0034788C" w:rsidRDefault="0034788C" w:rsidP="0034788C">
      <w:pPr>
        <w:pStyle w:val="NoSpacing"/>
        <w:rPr>
          <w:rFonts w:ascii="Bookman Old Style" w:hAnsi="Bookman Old Style"/>
        </w:rPr>
      </w:pPr>
      <w:r w:rsidRPr="0034788C">
        <w:rPr>
          <w:rFonts w:ascii="Bookman Old Style" w:hAnsi="Bookman Old Style"/>
        </w:rPr>
        <w:t xml:space="preserve">Bank of America:    Brian Moynihan, </w:t>
      </w:r>
      <w:proofErr w:type="gramStart"/>
      <w:r w:rsidRPr="0034788C">
        <w:rPr>
          <w:rFonts w:ascii="Bookman Old Style" w:hAnsi="Bookman Old Style"/>
        </w:rPr>
        <w:t>CEO  100</w:t>
      </w:r>
      <w:proofErr w:type="gramEnd"/>
      <w:r w:rsidRPr="0034788C">
        <w:rPr>
          <w:rFonts w:ascii="Bookman Old Style" w:hAnsi="Bookman Old Style"/>
        </w:rPr>
        <w:t xml:space="preserve"> N Tryon Street,   Charlotte, NC 28255</w:t>
      </w:r>
    </w:p>
    <w:p w:rsidR="0034788C" w:rsidRPr="0034788C" w:rsidRDefault="0034788C" w:rsidP="0034788C">
      <w:pPr>
        <w:pStyle w:val="NoSpacing"/>
        <w:rPr>
          <w:rFonts w:ascii="Bookman Old Style" w:hAnsi="Bookman Old Style"/>
        </w:rPr>
      </w:pPr>
      <w:r w:rsidRPr="0034788C">
        <w:rPr>
          <w:rFonts w:ascii="Bookman Old Style" w:hAnsi="Bookman Old Style"/>
        </w:rPr>
        <w:t>Morgan Stanley, James Gorman, CEO     1585 Broadway Ave.  New York, NY10036     212-761-4000</w:t>
      </w:r>
    </w:p>
    <w:p w:rsidR="0034788C" w:rsidRPr="0034788C" w:rsidRDefault="0034788C" w:rsidP="0034788C">
      <w:pPr>
        <w:pStyle w:val="NoSpacing"/>
        <w:rPr>
          <w:rFonts w:ascii="Bookman Old Style" w:hAnsi="Bookman Old Style"/>
        </w:rPr>
      </w:pPr>
    </w:p>
    <w:p w:rsidR="0034788C" w:rsidRPr="0034788C" w:rsidRDefault="0034788C" w:rsidP="0034788C">
      <w:pPr>
        <w:pStyle w:val="NoSpacing"/>
        <w:rPr>
          <w:rFonts w:ascii="Bookman Old Style" w:hAnsi="Bookman Old Style"/>
        </w:rPr>
      </w:pPr>
      <w:r w:rsidRPr="0034788C">
        <w:rPr>
          <w:rFonts w:ascii="Bookman Old Style" w:hAnsi="Bookman Old Style"/>
          <w:bCs/>
        </w:rPr>
        <w:t>Attention! This is a Disastrous Global Certainty.</w:t>
      </w:r>
    </w:p>
    <w:p w:rsidR="0034788C" w:rsidRPr="0034788C" w:rsidRDefault="0034788C" w:rsidP="0034788C">
      <w:pPr>
        <w:pStyle w:val="NoSpacing"/>
        <w:rPr>
          <w:rFonts w:ascii="Bookman Old Style" w:hAnsi="Bookman Old Style"/>
        </w:rPr>
      </w:pPr>
      <w:r w:rsidRPr="0034788C">
        <w:rPr>
          <w:rFonts w:ascii="Bookman Old Style" w:hAnsi="Bookman Old Style"/>
        </w:rPr>
        <w:t>“Tropical Forests are rapidly losing their ability to absorb carbon. The fact that this isn’t on every front page is terrifying.”  Greta Thunberg</w:t>
      </w:r>
    </w:p>
    <w:p w:rsidR="0034788C" w:rsidRPr="0034788C" w:rsidRDefault="0034788C" w:rsidP="0034788C">
      <w:pPr>
        <w:pStyle w:val="NoSpacing"/>
        <w:rPr>
          <w:rFonts w:ascii="Bookman Old Style" w:hAnsi="Bookman Old Style"/>
          <w:bCs/>
        </w:rPr>
      </w:pPr>
      <w:r w:rsidRPr="0034788C">
        <w:rPr>
          <w:rFonts w:ascii="Bookman Old Style" w:hAnsi="Bookman Old Style"/>
        </w:rPr>
        <w:t xml:space="preserve">The world climate crisis is the real big picture, greater in urgency than the always ongoing political points of dispute. The climate crisis isn’t political or a hoax. It is a disastrous global certainty that should unite us to bring change in our daily lives, in media attention, and in the forefront of our politician’s goals and actions. It should not be on the back burner. Headlines should chronicle the reasons for and effects of our environmental crisis daily. It is just that important.  </w:t>
      </w:r>
    </w:p>
    <w:p w:rsidR="0034788C" w:rsidRPr="0034788C" w:rsidRDefault="0034788C" w:rsidP="0034788C">
      <w:pPr>
        <w:pStyle w:val="NoSpacing"/>
        <w:rPr>
          <w:rFonts w:ascii="Bookman Old Style" w:hAnsi="Bookman Old Style"/>
        </w:rPr>
      </w:pPr>
      <w:r w:rsidRPr="0034788C">
        <w:rPr>
          <w:rFonts w:ascii="Bookman Old Style" w:hAnsi="Bookman Old Style"/>
          <w:bCs/>
        </w:rPr>
        <w:t>Action:</w:t>
      </w:r>
      <w:r w:rsidRPr="0034788C">
        <w:rPr>
          <w:rFonts w:ascii="Bookman Old Style" w:hAnsi="Bookman Old Style"/>
        </w:rPr>
        <w:t xml:space="preserve"> Contact our governmental reps., and the candidates seeking to replace them about their views and goals. Contact media outlets to encourage regular environmental coverage.</w:t>
      </w:r>
    </w:p>
    <w:p w:rsidR="0034788C" w:rsidRPr="0034788C" w:rsidRDefault="0034788C" w:rsidP="0034788C">
      <w:pPr>
        <w:pStyle w:val="NoSpacing"/>
        <w:rPr>
          <w:rFonts w:ascii="Bookman Old Style" w:hAnsi="Bookman Old Style"/>
        </w:rPr>
      </w:pPr>
      <w:r w:rsidRPr="0034788C">
        <w:rPr>
          <w:rFonts w:ascii="Bookman Old Style" w:hAnsi="Bookman Old Style"/>
        </w:rPr>
        <w:t xml:space="preserve">Hendersonville Times </w:t>
      </w:r>
      <w:proofErr w:type="gramStart"/>
      <w:r w:rsidRPr="0034788C">
        <w:rPr>
          <w:rFonts w:ascii="Bookman Old Style" w:hAnsi="Bookman Old Style"/>
        </w:rPr>
        <w:t>News  106</w:t>
      </w:r>
      <w:proofErr w:type="gramEnd"/>
      <w:r w:rsidRPr="0034788C">
        <w:rPr>
          <w:rFonts w:ascii="Bookman Old Style" w:hAnsi="Bookman Old Style"/>
        </w:rPr>
        <w:t xml:space="preserve"> Henderson Crossing Plaza,  Hendersonville, NC 28792</w:t>
      </w:r>
    </w:p>
    <w:p w:rsidR="0034788C" w:rsidRPr="0034788C" w:rsidRDefault="0034788C" w:rsidP="0034788C">
      <w:pPr>
        <w:pStyle w:val="NoSpacing"/>
        <w:rPr>
          <w:rFonts w:ascii="Bookman Old Style" w:hAnsi="Bookman Old Style" w:cs="Bookman Old Style"/>
        </w:rPr>
      </w:pPr>
      <w:r w:rsidRPr="0034788C">
        <w:rPr>
          <w:rFonts w:ascii="Bookman Old Style" w:hAnsi="Bookman Old Style"/>
        </w:rPr>
        <w:t xml:space="preserve">Asheville Citizen Times </w:t>
      </w:r>
      <w:proofErr w:type="gramStart"/>
      <w:r w:rsidRPr="0034788C">
        <w:rPr>
          <w:rFonts w:ascii="Bookman Old Style" w:hAnsi="Bookman Old Style"/>
        </w:rPr>
        <w:t>14  O</w:t>
      </w:r>
      <w:proofErr w:type="gramEnd"/>
      <w:r w:rsidRPr="0034788C">
        <w:rPr>
          <w:rFonts w:ascii="Bookman Old Style" w:hAnsi="Bookman Old Style"/>
        </w:rPr>
        <w:t xml:space="preserve"> Henry Ave, Asheville, NC 28801     </w:t>
      </w:r>
    </w:p>
    <w:p w:rsidR="0034788C" w:rsidRPr="0034788C" w:rsidRDefault="0034788C" w:rsidP="0034788C">
      <w:pPr>
        <w:pStyle w:val="NoSpacing"/>
        <w:rPr>
          <w:rFonts w:ascii="Bookman Old Style" w:hAnsi="Bookman Old Style" w:cs="Bookman Old Style"/>
        </w:rPr>
      </w:pPr>
      <w:r w:rsidRPr="0034788C">
        <w:rPr>
          <w:rFonts w:ascii="Bookman Old Style" w:hAnsi="Bookman Old Style" w:cs="Bookman Old Style"/>
        </w:rPr>
        <w:t>NY Times &amp; other outlets for news</w:t>
      </w:r>
    </w:p>
    <w:p w:rsidR="0034788C" w:rsidRPr="0034788C" w:rsidRDefault="0034788C" w:rsidP="0034788C">
      <w:pPr>
        <w:pStyle w:val="NoSpacing"/>
        <w:rPr>
          <w:rFonts w:ascii="Bookman Old Style" w:hAnsi="Bookman Old Style" w:cs="Bookman Old Style"/>
        </w:rPr>
      </w:pPr>
    </w:p>
    <w:p w:rsidR="0034788C" w:rsidRPr="0034788C" w:rsidRDefault="0034788C" w:rsidP="0034788C">
      <w:pPr>
        <w:pStyle w:val="NoSpacing"/>
        <w:rPr>
          <w:rFonts w:ascii="Bookman Old Style" w:eastAsia="Times New Roman" w:hAnsi="Bookman Old Style" w:cs="Calibri"/>
          <w:color w:val="2E2E2E"/>
        </w:rPr>
      </w:pPr>
      <w:r w:rsidRPr="0034788C">
        <w:rPr>
          <w:rFonts w:ascii="Bookman Old Style" w:hAnsi="Bookman Old Style" w:cs="Calibri"/>
          <w:bCs/>
        </w:rPr>
        <w:t>Pay Roll Tax Cuts</w:t>
      </w:r>
    </w:p>
    <w:p w:rsidR="0034788C" w:rsidRPr="0034788C" w:rsidRDefault="0034788C" w:rsidP="0034788C">
      <w:pPr>
        <w:pStyle w:val="NoSpacing"/>
        <w:rPr>
          <w:rFonts w:ascii="Bookman Old Style" w:eastAsia="Times New Roman" w:hAnsi="Bookman Old Style" w:cs="Calibri"/>
          <w:color w:val="2E2E2E"/>
        </w:rPr>
      </w:pPr>
      <w:r w:rsidRPr="0034788C">
        <w:rPr>
          <w:rFonts w:ascii="Bookman Old Style" w:eastAsia="Times New Roman" w:hAnsi="Bookman Old Style" w:cs="Calibri"/>
          <w:color w:val="2E2E2E"/>
        </w:rPr>
        <w:t xml:space="preserve">3/11/20 </w:t>
      </w:r>
      <w:proofErr w:type="gramStart"/>
      <w:r w:rsidRPr="0034788C">
        <w:rPr>
          <w:rFonts w:ascii="Bookman Old Style" w:eastAsia="Times New Roman" w:hAnsi="Bookman Old Style" w:cs="Calibri"/>
          <w:color w:val="2E2E2E"/>
        </w:rPr>
        <w:t>The</w:t>
      </w:r>
      <w:proofErr w:type="gramEnd"/>
      <w:r w:rsidRPr="0034788C">
        <w:rPr>
          <w:rFonts w:ascii="Bookman Old Style" w:eastAsia="Times New Roman" w:hAnsi="Bookman Old Style" w:cs="Calibri"/>
          <w:color w:val="2E2E2E"/>
        </w:rPr>
        <w:t xml:space="preserve"> money taken in payroll taxes go to three things: Social Security, Medicare and unemployment insurance. Every pay period, salaried workers pay 6.2% of their gross annual income up to $137,700 for Social Security. Their employer also pays a 6.2% tax. Overall, employers and employees pay a </w:t>
      </w:r>
      <w:hyperlink r:id="rId6" w:history="1">
        <w:r w:rsidRPr="0034788C">
          <w:rPr>
            <w:rStyle w:val="Hyperlink"/>
            <w:rFonts w:ascii="Bookman Old Style" w:eastAsia="Times New Roman" w:hAnsi="Bookman Old Style" w:cs="Calibri"/>
            <w:color w:val="0000FF"/>
          </w:rPr>
          <w:t>12.4% combined Social Security tax.</w:t>
        </w:r>
      </w:hyperlink>
    </w:p>
    <w:p w:rsidR="0034788C" w:rsidRPr="0034788C" w:rsidRDefault="0034788C" w:rsidP="0034788C">
      <w:pPr>
        <w:pStyle w:val="NoSpacing"/>
        <w:rPr>
          <w:rFonts w:ascii="Bookman Old Style" w:hAnsi="Bookman Old Style"/>
        </w:rPr>
      </w:pPr>
      <w:r w:rsidRPr="0034788C">
        <w:rPr>
          <w:rFonts w:ascii="Bookman Old Style" w:eastAsia="Times New Roman" w:hAnsi="Bookman Old Style" w:cs="Calibri"/>
          <w:color w:val="2E2E2E"/>
        </w:rPr>
        <w:t xml:space="preserve">Workers pay 1.45% for Medicare taxes and employers pay 1.45%. Combined, they pay 2.9% in Medicare taxes. Workers making $200,000 a year and above (or married couples making </w:t>
      </w:r>
      <w:r w:rsidRPr="0034788C">
        <w:rPr>
          <w:rFonts w:ascii="Bookman Old Style" w:eastAsia="Times New Roman" w:hAnsi="Bookman Old Style" w:cs="Calibri"/>
          <w:color w:val="2E2E2E"/>
        </w:rPr>
        <w:lastRenderedPageBreak/>
        <w:t>$250,000)</w:t>
      </w:r>
      <w:hyperlink r:id="rId7" w:history="1">
        <w:r w:rsidRPr="0034788C">
          <w:rPr>
            <w:rStyle w:val="Hyperlink"/>
            <w:rFonts w:ascii="Bookman Old Style" w:eastAsia="Times New Roman" w:hAnsi="Bookman Old Style" w:cs="Calibri"/>
            <w:color w:val="0000FF"/>
          </w:rPr>
          <w:t> pay an additional 0.9% in Medicare taxes.</w:t>
        </w:r>
      </w:hyperlink>
      <w:r w:rsidRPr="0034788C">
        <w:rPr>
          <w:rFonts w:ascii="Bookman Old Style" w:eastAsia="Times New Roman" w:hAnsi="Bookman Old Style" w:cs="Calibri"/>
          <w:color w:val="2E2E2E"/>
        </w:rPr>
        <w:t> Employers also pay 6% on the first $7,000 of a worker’s wages; they may also have to pay state unemployment taxes, depending on the state.</w:t>
      </w:r>
    </w:p>
    <w:p w:rsidR="0034788C" w:rsidRPr="0034788C" w:rsidRDefault="0034788C" w:rsidP="0034788C">
      <w:pPr>
        <w:pStyle w:val="NoSpacing"/>
        <w:rPr>
          <w:rFonts w:ascii="Bookman Old Style" w:eastAsia="Times New Roman" w:hAnsi="Bookman Old Style" w:cs="Calibri"/>
          <w:bCs/>
          <w:i/>
          <w:iCs/>
        </w:rPr>
      </w:pPr>
      <w:hyperlink r:id="rId8" w:history="1">
        <w:r w:rsidRPr="0034788C">
          <w:rPr>
            <w:rStyle w:val="Hyperlink"/>
            <w:rFonts w:ascii="Bookman Old Style" w:hAnsi="Bookman Old Style" w:cs="Calibri"/>
          </w:rPr>
          <w:t>Social Security is our nation's most prized social program</w:t>
        </w:r>
      </w:hyperlink>
      <w:r w:rsidRPr="0034788C">
        <w:rPr>
          <w:rFonts w:ascii="Bookman Old Style" w:hAnsi="Bookman Old Style" w:cs="Calibri"/>
          <w:color w:val="303030"/>
        </w:rPr>
        <w:t>, responsible for divvying out benefits to more than 63 million people each month, 70% of whom are retired workers, and it keeps an estimated </w:t>
      </w:r>
      <w:hyperlink r:id="rId9" w:history="1">
        <w:r w:rsidRPr="0034788C">
          <w:rPr>
            <w:rStyle w:val="Hyperlink"/>
            <w:rFonts w:ascii="Bookman Old Style" w:hAnsi="Bookman Old Style" w:cs="Calibri"/>
            <w:color w:val="303030"/>
          </w:rPr>
          <w:t>22 million beneficiaries out of poverty</w:t>
        </w:r>
      </w:hyperlink>
      <w:r w:rsidRPr="0034788C">
        <w:rPr>
          <w:rFonts w:ascii="Bookman Old Style" w:hAnsi="Bookman Old Style" w:cs="Calibri"/>
          <w:color w:val="303030"/>
        </w:rPr>
        <w:t xml:space="preserve">. Without Social Security, the Center on Budget and Policy Priorities projects that the elderly poverty rate would more than quadruple to over 40%! </w:t>
      </w:r>
    </w:p>
    <w:p w:rsidR="0034788C" w:rsidRPr="0034788C" w:rsidRDefault="0034788C" w:rsidP="0034788C">
      <w:pPr>
        <w:pStyle w:val="NoSpacing"/>
        <w:rPr>
          <w:rFonts w:ascii="Bookman Old Style" w:eastAsia="Times New Roman" w:hAnsi="Bookman Old Style" w:cs="Calibri"/>
          <w:color w:val="2E2E2E"/>
        </w:rPr>
      </w:pPr>
      <w:r w:rsidRPr="0034788C">
        <w:rPr>
          <w:rFonts w:ascii="Bookman Old Style" w:eastAsia="Times New Roman" w:hAnsi="Bookman Old Style" w:cs="Calibri"/>
          <w:bCs/>
          <w:i/>
          <w:iCs/>
        </w:rPr>
        <w:t>Payroll taxes produced $914 billion in tax revenue for Social Security in 2019. They generated $278 billion for Medicare, and $41 billion for unemployment insurance.</w:t>
      </w:r>
    </w:p>
    <w:p w:rsidR="0034788C" w:rsidRPr="0034788C" w:rsidRDefault="0034788C" w:rsidP="0034788C">
      <w:pPr>
        <w:pStyle w:val="NoSpacing"/>
        <w:rPr>
          <w:rFonts w:ascii="Bookman Old Style" w:hAnsi="Bookman Old Style"/>
        </w:rPr>
      </w:pPr>
      <w:r w:rsidRPr="0034788C">
        <w:rPr>
          <w:rFonts w:ascii="Bookman Old Style" w:eastAsia="Times New Roman" w:hAnsi="Bookman Old Style" w:cs="Calibri"/>
          <w:color w:val="2E2E2E"/>
        </w:rPr>
        <w:t xml:space="preserve">An estimate from the </w:t>
      </w:r>
      <w:hyperlink r:id="rId10" w:history="1">
        <w:r w:rsidRPr="0034788C">
          <w:rPr>
            <w:rStyle w:val="Hyperlink"/>
            <w:rFonts w:ascii="Bookman Old Style" w:eastAsia="Times New Roman" w:hAnsi="Bookman Old Style" w:cs="Calibri"/>
          </w:rPr>
          <w:t>Urban-Brookings Tax Policy</w:t>
        </w:r>
      </w:hyperlink>
      <w:r w:rsidRPr="0034788C">
        <w:rPr>
          <w:rFonts w:ascii="Bookman Old Style" w:eastAsia="Times New Roman" w:hAnsi="Bookman Old Style" w:cs="Calibri"/>
          <w:color w:val="2E2E2E"/>
        </w:rPr>
        <w:t xml:space="preserve"> Center said 121 million workers would benefit from a 2% cut in payroll tax, providing an average annual sum of $1,043. But </w:t>
      </w:r>
      <w:r w:rsidRPr="0034788C">
        <w:rPr>
          <w:rFonts w:ascii="Bookman Old Style" w:eastAsia="Times New Roman" w:hAnsi="Bookman Old Style" w:cs="Calibri"/>
          <w:i/>
          <w:iCs/>
          <w:color w:val="2E2E2E"/>
        </w:rPr>
        <w:t>wealthier families would see the biggest gains</w:t>
      </w:r>
      <w:hyperlink r:id="rId11" w:history="1">
        <w:r w:rsidRPr="0034788C">
          <w:rPr>
            <w:rStyle w:val="Hyperlink"/>
            <w:rFonts w:ascii="Bookman Old Style" w:eastAsia="Times New Roman" w:hAnsi="Bookman Old Style" w:cs="Calibri"/>
            <w:color w:val="0000FF"/>
          </w:rPr>
          <w:t>, the analysis said.</w:t>
        </w:r>
      </w:hyperlink>
    </w:p>
    <w:p w:rsidR="0034788C" w:rsidRPr="0034788C" w:rsidRDefault="0034788C" w:rsidP="0034788C">
      <w:pPr>
        <w:pStyle w:val="NoSpacing"/>
        <w:rPr>
          <w:rFonts w:ascii="Bookman Old Style" w:hAnsi="Bookman Old Style"/>
        </w:rPr>
      </w:pPr>
      <w:hyperlink r:id="rId12" w:history="1">
        <w:r w:rsidRPr="0034788C">
          <w:rPr>
            <w:rStyle w:val="Hyperlink"/>
            <w:rFonts w:ascii="Bookman Old Style" w:hAnsi="Bookman Old Style" w:cs="Calibri"/>
          </w:rPr>
          <w:t>Social Security</w:t>
        </w:r>
      </w:hyperlink>
      <w:r w:rsidRPr="0034788C">
        <w:rPr>
          <w:rFonts w:ascii="Bookman Old Style" w:hAnsi="Bookman Old Style" w:cs="Calibri"/>
          <w:color w:val="303030"/>
        </w:rPr>
        <w:t xml:space="preserve"> is contending with a $13.9 trillion cash shortfall that's only growing by the year. In each of the past two years, the long-term shortfall has risen by $700 billion, demonstrating that the longer lawmakers wait to act, the more painful the fix will be on working Americans. But temporarily crippling </w:t>
      </w:r>
      <w:hyperlink r:id="rId13" w:history="1">
        <w:r w:rsidRPr="0034788C">
          <w:rPr>
            <w:rStyle w:val="Hyperlink"/>
            <w:rFonts w:ascii="Bookman Old Style" w:hAnsi="Bookman Old Style" w:cs="Calibri"/>
            <w:color w:val="303030"/>
          </w:rPr>
          <w:t>Social Security's workhorse revenue producer</w:t>
        </w:r>
      </w:hyperlink>
      <w:r w:rsidRPr="0034788C">
        <w:rPr>
          <w:rFonts w:ascii="Bookman Old Style" w:hAnsi="Bookman Old Style" w:cs="Calibri"/>
          <w:color w:val="303030"/>
        </w:rPr>
        <w:t xml:space="preserve">, the payroll tax, simply to provide a boost to consumer spending would amount to short-term gains in exchange for long-term pain </w:t>
      </w:r>
      <w:r w:rsidRPr="0034788C">
        <w:rPr>
          <w:rFonts w:ascii="Bookman Old Style" w:hAnsi="Bookman Old Style" w:cs="Calibri"/>
          <w:bCs/>
          <w:color w:val="303030"/>
        </w:rPr>
        <w:t xml:space="preserve">and </w:t>
      </w:r>
      <w:r w:rsidRPr="0034788C">
        <w:rPr>
          <w:rFonts w:ascii="Bookman Old Style" w:hAnsi="Bookman Old Style" w:cs="Calibri"/>
          <w:bCs/>
          <w:i/>
          <w:iCs/>
          <w:color w:val="303030"/>
        </w:rPr>
        <w:t xml:space="preserve">could be a back door to getting rid of or privatizing Social Security. </w:t>
      </w:r>
    </w:p>
    <w:p w:rsidR="0034788C" w:rsidRPr="0034788C" w:rsidRDefault="0034788C" w:rsidP="0034788C">
      <w:pPr>
        <w:pStyle w:val="NoSpacing"/>
        <w:rPr>
          <w:rFonts w:ascii="Bookman Old Style" w:eastAsia="Times New Roman" w:hAnsi="Bookman Old Style" w:cs="Calibri"/>
          <w:bCs/>
        </w:rPr>
      </w:pPr>
      <w:hyperlink r:id="rId14" w:history="1">
        <w:r w:rsidRPr="0034788C">
          <w:rPr>
            <w:rStyle w:val="Hyperlink"/>
            <w:rFonts w:ascii="Bookman Old Style" w:eastAsia="Times New Roman" w:hAnsi="Bookman Old Style" w:cs="Calibri"/>
            <w:b/>
            <w:bCs/>
            <w:i/>
            <w:iCs/>
          </w:rPr>
          <w:t>‘While a payroll-tax cut</w:t>
        </w:r>
      </w:hyperlink>
      <w:r w:rsidRPr="0034788C">
        <w:rPr>
          <w:rFonts w:ascii="Bookman Old Style" w:eastAsia="Times New Roman" w:hAnsi="Bookman Old Style" w:cs="Calibri"/>
          <w:bCs/>
          <w:i/>
          <w:iCs/>
          <w:color w:val="3677A8"/>
        </w:rPr>
        <w:t xml:space="preserve"> </w:t>
      </w:r>
      <w:r w:rsidRPr="0034788C">
        <w:rPr>
          <w:rFonts w:ascii="Bookman Old Style" w:eastAsia="Times New Roman" w:hAnsi="Bookman Old Style" w:cs="Calibri"/>
          <w:i/>
          <w:iCs/>
        </w:rPr>
        <w:t>for employees likely doesn’t make sense, a payroll-tax cut for employers could.’</w:t>
      </w:r>
      <w:r w:rsidRPr="0034788C">
        <w:rPr>
          <w:rFonts w:ascii="Bookman Old Style" w:eastAsia="Times New Roman" w:hAnsi="Bookman Old Style" w:cs="Calibri"/>
          <w:bCs/>
          <w:i/>
          <w:iCs/>
        </w:rPr>
        <w:t xml:space="preserve"> </w:t>
      </w:r>
      <w:r w:rsidRPr="0034788C">
        <w:rPr>
          <w:rFonts w:ascii="Bookman Old Style" w:eastAsia="Times New Roman" w:hAnsi="Bookman Old Style" w:cs="Calibri"/>
        </w:rPr>
        <w:t xml:space="preserve">Nicole </w:t>
      </w:r>
      <w:proofErr w:type="spellStart"/>
      <w:r w:rsidRPr="0034788C">
        <w:rPr>
          <w:rFonts w:ascii="Bookman Old Style" w:eastAsia="Times New Roman" w:hAnsi="Bookman Old Style" w:cs="Calibri"/>
        </w:rPr>
        <w:t>Kaeding</w:t>
      </w:r>
      <w:proofErr w:type="spellEnd"/>
      <w:r w:rsidRPr="0034788C">
        <w:rPr>
          <w:rFonts w:ascii="Bookman Old Style" w:eastAsia="Times New Roman" w:hAnsi="Bookman Old Style" w:cs="Calibri"/>
        </w:rPr>
        <w:t>, vice president at the National Taxpayers Union Foundation</w:t>
      </w:r>
    </w:p>
    <w:p w:rsidR="0034788C" w:rsidRPr="0034788C" w:rsidRDefault="0034788C" w:rsidP="0034788C">
      <w:pPr>
        <w:pStyle w:val="NoSpacing"/>
        <w:rPr>
          <w:rFonts w:ascii="Bookman Old Style" w:eastAsia="Times New Roman" w:hAnsi="Bookman Old Style" w:cs="Calibri"/>
          <w:bCs/>
          <w:color w:val="6A6A6A"/>
        </w:rPr>
      </w:pPr>
      <w:r w:rsidRPr="0034788C">
        <w:rPr>
          <w:rFonts w:ascii="Bookman Old Style" w:eastAsia="Times New Roman" w:hAnsi="Bookman Old Style" w:cs="Calibri"/>
          <w:bCs/>
        </w:rPr>
        <w:t xml:space="preserve">Please write to your MOC demanding they not support a payroll tax cut for employees to preserve our treasured Entitlements of Social Security, Medicare and Unemployment insurance. </w:t>
      </w:r>
    </w:p>
    <w:p w:rsidR="0034788C" w:rsidRPr="0034788C" w:rsidRDefault="0034788C" w:rsidP="0034788C">
      <w:pPr>
        <w:pStyle w:val="NoSpacing"/>
        <w:rPr>
          <w:rFonts w:ascii="Bookman Old Style" w:eastAsia="Times New Roman" w:hAnsi="Bookman Old Style" w:cs="Calibri"/>
          <w:bCs/>
          <w:color w:val="6A6A6A"/>
        </w:rPr>
      </w:pPr>
    </w:p>
    <w:p w:rsidR="0034788C" w:rsidRPr="0034788C" w:rsidRDefault="0034788C" w:rsidP="0034788C">
      <w:pPr>
        <w:pStyle w:val="NoSpacing"/>
        <w:rPr>
          <w:rFonts w:ascii="Bookman Old Style" w:eastAsia="Times New Roman" w:hAnsi="Bookman Old Style" w:cs="Calibri"/>
          <w:color w:val="333333"/>
        </w:rPr>
      </w:pPr>
      <w:r w:rsidRPr="0034788C">
        <w:rPr>
          <w:rFonts w:ascii="Bookman Old Style" w:eastAsia="Times New Roman" w:hAnsi="Bookman Old Style" w:cs="Calibri"/>
          <w:bCs/>
        </w:rPr>
        <w:t>Pushing back Tax Filing deadline</w:t>
      </w:r>
    </w:p>
    <w:p w:rsidR="0034788C" w:rsidRPr="0034788C" w:rsidRDefault="0034788C" w:rsidP="0034788C">
      <w:pPr>
        <w:pStyle w:val="NoSpacing"/>
        <w:rPr>
          <w:rFonts w:ascii="Bookman Old Style" w:hAnsi="Bookman Old Style" w:cs="Calibri"/>
        </w:rPr>
      </w:pPr>
      <w:r w:rsidRPr="0034788C">
        <w:rPr>
          <w:rFonts w:ascii="Bookman Old Style" w:eastAsia="Times New Roman" w:hAnsi="Bookman Old Style" w:cs="Calibri"/>
          <w:color w:val="333333"/>
        </w:rPr>
        <w:t xml:space="preserve">3/11/20 </w:t>
      </w:r>
      <w:hyperlink r:id="rId15" w:history="1">
        <w:r w:rsidRPr="0034788C">
          <w:rPr>
            <w:rStyle w:val="Hyperlink"/>
            <w:rFonts w:ascii="Bookman Old Style" w:eastAsia="Times New Roman" w:hAnsi="Bookman Old Style" w:cs="Calibri"/>
          </w:rPr>
          <w:t>The Treasury Department</w:t>
        </w:r>
      </w:hyperlink>
      <w:r w:rsidRPr="0034788C">
        <w:rPr>
          <w:rFonts w:ascii="Bookman Old Style" w:eastAsia="Times New Roman" w:hAnsi="Bookman Old Style" w:cs="Calibri"/>
          <w:color w:val="333333"/>
        </w:rPr>
        <w:t xml:space="preserve"> is</w:t>
      </w:r>
      <w:r w:rsidRPr="0034788C">
        <w:rPr>
          <w:rFonts w:ascii="Bookman Old Style" w:hAnsi="Bookman Old Style" w:cs="Calibri"/>
          <w:color w:val="212529"/>
        </w:rPr>
        <w:t xml:space="preserve"> weighing </w:t>
      </w:r>
      <w:hyperlink r:id="rId16" w:history="1">
        <w:r w:rsidRPr="0034788C">
          <w:rPr>
            <w:rStyle w:val="Hyperlink"/>
            <w:rFonts w:ascii="Bookman Old Style" w:hAnsi="Bookman Old Style" w:cs="Calibri"/>
          </w:rPr>
          <w:t>extending the April 15 deadline</w:t>
        </w:r>
      </w:hyperlink>
      <w:r w:rsidRPr="0034788C">
        <w:rPr>
          <w:rFonts w:ascii="Bookman Old Style" w:eastAsia="Times New Roman" w:hAnsi="Bookman Old Style" w:cs="Calibri"/>
          <w:color w:val="333333"/>
        </w:rPr>
        <w:t xml:space="preserve">, as taxpayers and the Internal Revenue Service brace for economic disruption from the spread of the </w:t>
      </w:r>
      <w:proofErr w:type="spellStart"/>
      <w:r w:rsidRPr="0034788C">
        <w:rPr>
          <w:rFonts w:ascii="Bookman Old Style" w:eastAsia="Times New Roman" w:hAnsi="Bookman Old Style" w:cs="Calibri"/>
          <w:color w:val="333333"/>
        </w:rPr>
        <w:t>coronavirus.The</w:t>
      </w:r>
      <w:proofErr w:type="spellEnd"/>
      <w:r w:rsidRPr="0034788C">
        <w:rPr>
          <w:rFonts w:ascii="Bookman Old Style" w:eastAsia="Times New Roman" w:hAnsi="Bookman Old Style" w:cs="Calibri"/>
          <w:color w:val="333333"/>
        </w:rPr>
        <w:t xml:space="preserve"> I.R.S. could extend the tax payment deadline or waive penalties and interest for late </w:t>
      </w:r>
      <w:proofErr w:type="spellStart"/>
      <w:r w:rsidRPr="0034788C">
        <w:rPr>
          <w:rFonts w:ascii="Bookman Old Style" w:eastAsia="Times New Roman" w:hAnsi="Bookman Old Style" w:cs="Calibri"/>
          <w:color w:val="333333"/>
        </w:rPr>
        <w:t>payments.Treasury</w:t>
      </w:r>
      <w:proofErr w:type="spellEnd"/>
      <w:r w:rsidRPr="0034788C">
        <w:rPr>
          <w:rFonts w:ascii="Bookman Old Style" w:eastAsia="Times New Roman" w:hAnsi="Bookman Old Style" w:cs="Calibri"/>
          <w:color w:val="333333"/>
        </w:rPr>
        <w:t xml:space="preserve"> Secretary Steven </w:t>
      </w:r>
      <w:proofErr w:type="spellStart"/>
      <w:r w:rsidRPr="0034788C">
        <w:rPr>
          <w:rFonts w:ascii="Bookman Old Style" w:eastAsia="Times New Roman" w:hAnsi="Bookman Old Style" w:cs="Calibri"/>
          <w:color w:val="333333"/>
        </w:rPr>
        <w:t>Mnuchin</w:t>
      </w:r>
      <w:proofErr w:type="spellEnd"/>
      <w:r w:rsidRPr="0034788C">
        <w:rPr>
          <w:rFonts w:ascii="Bookman Old Style" w:eastAsia="Times New Roman" w:hAnsi="Bookman Old Style" w:cs="Calibri"/>
          <w:color w:val="333333"/>
        </w:rPr>
        <w:t>, said he believed the Trump administration could create an additional $200 billion in liquidity by providing certain taxpayers and small businesses extensions on their taxes.</w:t>
      </w:r>
      <w:r w:rsidRPr="0034788C">
        <w:rPr>
          <w:rFonts w:ascii="Bookman Old Style" w:hAnsi="Bookman Old Style" w:cs="Calibri"/>
          <w:color w:val="212529"/>
        </w:rPr>
        <w:t xml:space="preserve"> </w:t>
      </w:r>
      <w:hyperlink r:id="rId17" w:history="1">
        <w:r w:rsidRPr="0034788C">
          <w:rPr>
            <w:rStyle w:val="Hyperlink"/>
            <w:rFonts w:ascii="Bookman Old Style" w:hAnsi="Bookman Old Style" w:cs="Calibri"/>
          </w:rPr>
          <w:t>Details on how the filing delay</w:t>
        </w:r>
      </w:hyperlink>
      <w:r w:rsidRPr="0034788C">
        <w:rPr>
          <w:rFonts w:ascii="Bookman Old Style" w:hAnsi="Bookman Old Style" w:cs="Calibri"/>
          <w:color w:val="212529"/>
        </w:rPr>
        <w:t xml:space="preserve"> would work and how long the extension would last have not been ironed out.</w:t>
      </w:r>
    </w:p>
    <w:p w:rsidR="0034788C" w:rsidRPr="0034788C" w:rsidRDefault="0034788C" w:rsidP="0034788C">
      <w:pPr>
        <w:pStyle w:val="NoSpacing"/>
        <w:rPr>
          <w:rFonts w:ascii="Bookman Old Style" w:hAnsi="Bookman Old Style" w:cs="Calibri"/>
        </w:rPr>
      </w:pPr>
      <w:r w:rsidRPr="0034788C">
        <w:rPr>
          <w:rFonts w:ascii="Bookman Old Style" w:hAnsi="Bookman Old Style" w:cs="Calibri"/>
        </w:rPr>
        <w:t xml:space="preserve">Please contact </w:t>
      </w:r>
      <w:proofErr w:type="spellStart"/>
      <w:r w:rsidRPr="0034788C">
        <w:rPr>
          <w:rFonts w:ascii="Bookman Old Style" w:hAnsi="Bookman Old Style" w:cs="Calibri"/>
        </w:rPr>
        <w:t>Mnuchin</w:t>
      </w:r>
      <w:proofErr w:type="spellEnd"/>
      <w:r w:rsidRPr="0034788C">
        <w:rPr>
          <w:rFonts w:ascii="Bookman Old Style" w:hAnsi="Bookman Old Style" w:cs="Calibri"/>
        </w:rPr>
        <w:t xml:space="preserve">, Lewis, Neal and </w:t>
      </w:r>
      <w:proofErr w:type="spellStart"/>
      <w:r w:rsidRPr="0034788C">
        <w:rPr>
          <w:rFonts w:ascii="Bookman Old Style" w:hAnsi="Bookman Old Style" w:cs="Calibri"/>
        </w:rPr>
        <w:t>Rettig</w:t>
      </w:r>
      <w:proofErr w:type="spellEnd"/>
      <w:r w:rsidRPr="0034788C">
        <w:rPr>
          <w:rFonts w:ascii="Bookman Old Style" w:hAnsi="Bookman Old Style" w:cs="Calibri"/>
        </w:rPr>
        <w:t>-</w:t>
      </w:r>
      <w:bookmarkStart w:id="1" w:name="_GoBack1"/>
      <w:bookmarkEnd w:id="1"/>
      <w:r w:rsidRPr="0034788C">
        <w:rPr>
          <w:rFonts w:ascii="Bookman Old Style" w:hAnsi="Bookman Old Style" w:cs="Calibri"/>
        </w:rPr>
        <w:t xml:space="preserve"> </w:t>
      </w:r>
      <w:r w:rsidRPr="0034788C">
        <w:rPr>
          <w:rFonts w:ascii="Bookman Old Style" w:hAnsi="Bookman Old Style" w:cs="Calibri"/>
          <w:color w:val="212529"/>
        </w:rPr>
        <w:t>Although a delay in tax filings could add to the federal deficit, as the Treasury Department would likely need to borrow more since it would not be receiving payments from taxpayers by April 15, extending the deadline could help many workers.</w:t>
      </w:r>
    </w:p>
    <w:p w:rsidR="0034788C" w:rsidRPr="0034788C" w:rsidRDefault="0034788C" w:rsidP="0034788C">
      <w:pPr>
        <w:pStyle w:val="NoSpacing"/>
        <w:rPr>
          <w:rFonts w:ascii="Bookman Old Style" w:hAnsi="Bookman Old Style" w:cs="Calibri"/>
        </w:rPr>
      </w:pPr>
      <w:r w:rsidRPr="0034788C">
        <w:rPr>
          <w:rFonts w:ascii="Bookman Old Style" w:hAnsi="Bookman Old Style" w:cs="Calibri"/>
        </w:rPr>
        <w:t xml:space="preserve"> </w:t>
      </w:r>
      <w:r w:rsidRPr="0034788C">
        <w:rPr>
          <w:rFonts w:ascii="Bookman Old Style" w:hAnsi="Bookman Old Style" w:cs="Calibri"/>
          <w:bCs/>
        </w:rPr>
        <w:t xml:space="preserve">Steve </w:t>
      </w:r>
      <w:proofErr w:type="spellStart"/>
      <w:r w:rsidRPr="0034788C">
        <w:rPr>
          <w:rFonts w:ascii="Bookman Old Style" w:hAnsi="Bookman Old Style" w:cs="Calibri"/>
          <w:bCs/>
        </w:rPr>
        <w:t>Mnuchin</w:t>
      </w:r>
      <w:proofErr w:type="spellEnd"/>
      <w:r w:rsidRPr="0034788C">
        <w:rPr>
          <w:rFonts w:ascii="Bookman Old Style" w:hAnsi="Bookman Old Style" w:cs="Calibri"/>
        </w:rPr>
        <w:t>,</w:t>
      </w:r>
      <w:r w:rsidRPr="0034788C">
        <w:rPr>
          <w:rStyle w:val="Heading6Char"/>
          <w:rFonts w:ascii="Bookman Old Style" w:eastAsia="SimSun" w:hAnsi="Bookman Old Style" w:cs="Calibri"/>
          <w:sz w:val="24"/>
          <w:szCs w:val="24"/>
        </w:rPr>
        <w:t xml:space="preserve"> </w:t>
      </w:r>
      <w:r w:rsidRPr="0034788C">
        <w:rPr>
          <w:rFonts w:ascii="Bookman Old Style" w:hAnsi="Bookman Old Style" w:cs="Calibri"/>
        </w:rPr>
        <w:t>Department of the Treasury</w:t>
      </w:r>
      <w:r w:rsidRPr="0034788C">
        <w:rPr>
          <w:rFonts w:ascii="Bookman Old Style" w:hAnsi="Bookman Old Style" w:cs="Calibri"/>
        </w:rPr>
        <w:br/>
        <w:t>1500 Pennsylvania Ave., N.W., Washington, D.C. 20220</w:t>
      </w:r>
    </w:p>
    <w:p w:rsidR="0034788C" w:rsidRPr="0034788C" w:rsidRDefault="0034788C" w:rsidP="0034788C">
      <w:pPr>
        <w:pStyle w:val="NoSpacing"/>
        <w:rPr>
          <w:rFonts w:ascii="Bookman Old Style" w:hAnsi="Bookman Old Style" w:cs="Calibri"/>
        </w:rPr>
      </w:pPr>
      <w:r w:rsidRPr="0034788C">
        <w:rPr>
          <w:rFonts w:ascii="Bookman Old Style" w:hAnsi="Bookman Old Style" w:cs="Calibri"/>
        </w:rPr>
        <w:t xml:space="preserve">The </w:t>
      </w:r>
      <w:r w:rsidRPr="0034788C">
        <w:rPr>
          <w:rFonts w:ascii="Bookman Old Style" w:hAnsi="Bookman Old Style" w:cs="Calibri"/>
          <w:bCs/>
        </w:rPr>
        <w:t>Honorable Richard E Neal</w:t>
      </w:r>
      <w:r w:rsidRPr="0034788C">
        <w:rPr>
          <w:rFonts w:ascii="Bookman Old Style" w:hAnsi="Bookman Old Style" w:cs="Calibri"/>
        </w:rPr>
        <w:t xml:space="preserve"> Chair of Committee on Ways and Means, </w:t>
      </w:r>
      <w:r w:rsidRPr="0034788C">
        <w:rPr>
          <w:rFonts w:ascii="Bookman Old Style" w:eastAsia="Times New Roman" w:hAnsi="Bookman Old Style" w:cs="Calibri"/>
        </w:rPr>
        <w:t>Rayburn House Office Building, 45 Independence Ave SW, Washington, DC 20515</w:t>
      </w:r>
    </w:p>
    <w:p w:rsidR="0034788C" w:rsidRPr="0034788C" w:rsidRDefault="0034788C" w:rsidP="0034788C">
      <w:pPr>
        <w:pStyle w:val="NoSpacing"/>
        <w:rPr>
          <w:rFonts w:ascii="Bookman Old Style" w:hAnsi="Bookman Old Style" w:cs="Calibri"/>
        </w:rPr>
      </w:pPr>
      <w:r w:rsidRPr="0034788C">
        <w:rPr>
          <w:rFonts w:ascii="Bookman Old Style" w:hAnsi="Bookman Old Style" w:cs="Calibri"/>
        </w:rPr>
        <w:t xml:space="preserve">The </w:t>
      </w:r>
      <w:r w:rsidRPr="0034788C">
        <w:rPr>
          <w:rFonts w:ascii="Bookman Old Style" w:hAnsi="Bookman Old Style" w:cs="Calibri"/>
          <w:bCs/>
        </w:rPr>
        <w:t>Honorable John Lewis</w:t>
      </w:r>
      <w:r w:rsidRPr="0034788C">
        <w:rPr>
          <w:rFonts w:ascii="Bookman Old Style" w:hAnsi="Bookman Old Style" w:cs="Calibri"/>
        </w:rPr>
        <w:t xml:space="preserve"> Chairman Sub Committee on Oversight, </w:t>
      </w:r>
      <w:r w:rsidRPr="0034788C">
        <w:rPr>
          <w:rFonts w:ascii="Bookman Old Style" w:eastAsia="Times New Roman" w:hAnsi="Bookman Old Style" w:cs="Calibri"/>
        </w:rPr>
        <w:t>300 Cannon House Office Building, Washington, DC 20515</w:t>
      </w:r>
    </w:p>
    <w:p w:rsidR="0034788C" w:rsidRPr="0034788C" w:rsidRDefault="0034788C" w:rsidP="0034788C">
      <w:pPr>
        <w:pStyle w:val="NoSpacing"/>
        <w:rPr>
          <w:rFonts w:ascii="Bookman Old Style" w:hAnsi="Bookman Old Style" w:cs="Bookman Old Style"/>
        </w:rPr>
      </w:pPr>
      <w:r w:rsidRPr="0034788C">
        <w:rPr>
          <w:rFonts w:ascii="Bookman Old Style" w:hAnsi="Bookman Old Style" w:cs="Calibri"/>
        </w:rPr>
        <w:t xml:space="preserve">The </w:t>
      </w:r>
      <w:r w:rsidRPr="0034788C">
        <w:rPr>
          <w:rFonts w:ascii="Bookman Old Style" w:hAnsi="Bookman Old Style" w:cs="Calibri"/>
          <w:bCs/>
        </w:rPr>
        <w:t xml:space="preserve">Honorable Charles </w:t>
      </w:r>
      <w:proofErr w:type="spellStart"/>
      <w:r w:rsidRPr="0034788C">
        <w:rPr>
          <w:rFonts w:ascii="Bookman Old Style" w:hAnsi="Bookman Old Style" w:cs="Calibri"/>
          <w:bCs/>
        </w:rPr>
        <w:t>Rettig</w:t>
      </w:r>
      <w:proofErr w:type="spellEnd"/>
      <w:r w:rsidRPr="0034788C">
        <w:rPr>
          <w:rFonts w:ascii="Bookman Old Style" w:hAnsi="Bookman Old Style" w:cs="Calibri"/>
        </w:rPr>
        <w:t>, Commissioner IRS, 1111 Constitution Ave. N.W., Washington DC 20220</w:t>
      </w:r>
    </w:p>
    <w:p w:rsidR="0034788C" w:rsidRDefault="0034788C" w:rsidP="0034788C">
      <w:pPr>
        <w:pStyle w:val="NoSpacing"/>
        <w:rPr>
          <w:rFonts w:ascii="Bookman Old Style" w:hAnsi="Bookman Old Style" w:cs="Bookman Old Style"/>
        </w:rPr>
      </w:pPr>
    </w:p>
    <w:p w:rsidR="00B24589" w:rsidRPr="0034788C" w:rsidRDefault="0034788C" w:rsidP="0034788C">
      <w:pPr>
        <w:pStyle w:val="NoSpacing"/>
        <w:rPr>
          <w:rFonts w:ascii="Bookman Old Style" w:hAnsi="Bookman Old Style"/>
        </w:rPr>
      </w:pPr>
      <w:r w:rsidRPr="0034788C">
        <w:rPr>
          <w:rFonts w:ascii="Bookman Old Style" w:hAnsi="Bookman Old Style" w:cs="Bookman Old Style"/>
        </w:rPr>
        <w:t>BONUS TOPIC: Contac</w:t>
      </w:r>
      <w:r w:rsidRPr="0034788C">
        <w:rPr>
          <w:rFonts w:ascii="Bookman Old Style" w:hAnsi="Bookman Old Style" w:cs="Bookman Old Style"/>
        </w:rPr>
        <w:t xml:space="preserve">t any and all local officials and invite them to attend a Friday Postcard Party.   We promise an hour of civil discourse with engaged, </w:t>
      </w:r>
      <w:proofErr w:type="gramStart"/>
      <w:r w:rsidRPr="0034788C">
        <w:rPr>
          <w:rFonts w:ascii="Bookman Old Style" w:hAnsi="Bookman Old Style" w:cs="Bookman Old Style"/>
        </w:rPr>
        <w:t>concerned  citizens</w:t>
      </w:r>
      <w:proofErr w:type="gramEnd"/>
      <w:r w:rsidRPr="0034788C">
        <w:rPr>
          <w:rFonts w:ascii="Bookman Old Style" w:hAnsi="Bookman Old Style" w:cs="Bookman Old Style"/>
        </w:rPr>
        <w:t>.</w:t>
      </w:r>
    </w:p>
    <w:sectPr w:rsidR="00B24589" w:rsidRPr="0034788C" w:rsidSect="0034788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1">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8C"/>
    <w:rsid w:val="0034788C"/>
    <w:rsid w:val="00B24589"/>
    <w:rsid w:val="00FC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0BB82-5A8A-4D0F-BBC5-42E7BCD5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88C"/>
    <w:pPr>
      <w:suppressAutoHyphens/>
      <w:spacing w:after="0" w:line="240" w:lineRule="auto"/>
    </w:pPr>
    <w:rPr>
      <w:rFonts w:ascii="Calibri" w:eastAsia="SimSun" w:hAnsi="Calibri" w:cs="font18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788C"/>
    <w:rPr>
      <w:color w:val="0563C1"/>
      <w:u w:val="single"/>
      <w:lang/>
    </w:rPr>
  </w:style>
  <w:style w:type="character" w:customStyle="1" w:styleId="Heading6Char">
    <w:name w:val="Heading 6 Char"/>
    <w:basedOn w:val="DefaultParagraphFont"/>
    <w:rsid w:val="0034788C"/>
    <w:rPr>
      <w:rFonts w:ascii="Times New Roman" w:eastAsia="Times New Roman" w:hAnsi="Times New Roman" w:cs="Times New Roman"/>
      <w:b/>
      <w:bCs/>
      <w:sz w:val="15"/>
      <w:szCs w:val="15"/>
    </w:rPr>
  </w:style>
  <w:style w:type="paragraph" w:customStyle="1" w:styleId="gntarbp">
    <w:name w:val="gnt_ar_b_p"/>
    <w:basedOn w:val="Normal"/>
    <w:rsid w:val="0034788C"/>
    <w:pPr>
      <w:spacing w:before="100" w:after="100" w:line="100" w:lineRule="atLeast"/>
    </w:pPr>
    <w:rPr>
      <w:rFonts w:ascii="Times New Roman" w:eastAsia="Times New Roman" w:hAnsi="Times New Roman" w:cs="Times New Roman"/>
    </w:rPr>
  </w:style>
  <w:style w:type="paragraph" w:styleId="NormalWeb">
    <w:name w:val="Normal (Web)"/>
    <w:basedOn w:val="Normal"/>
    <w:rsid w:val="0034788C"/>
    <w:pPr>
      <w:spacing w:before="100" w:after="100" w:line="100" w:lineRule="atLeast"/>
    </w:pPr>
    <w:rPr>
      <w:rFonts w:ascii="Times New Roman" w:eastAsia="Times New Roman" w:hAnsi="Times New Roman" w:cs="Times New Roman"/>
    </w:rPr>
  </w:style>
  <w:style w:type="paragraph" w:styleId="NoSpacing">
    <w:name w:val="No Spacing"/>
    <w:uiPriority w:val="1"/>
    <w:qFormat/>
    <w:rsid w:val="0034788C"/>
    <w:pPr>
      <w:suppressAutoHyphens/>
      <w:spacing w:after="0" w:line="240" w:lineRule="auto"/>
    </w:pPr>
    <w:rPr>
      <w:rFonts w:ascii="Calibri" w:eastAsia="SimSun" w:hAnsi="Calibri" w:cs="font181"/>
      <w:sz w:val="24"/>
      <w:szCs w:val="24"/>
      <w:lang w:eastAsia="ar-SA"/>
    </w:rPr>
  </w:style>
  <w:style w:type="paragraph" w:styleId="BalloonText">
    <w:name w:val="Balloon Text"/>
    <w:basedOn w:val="Normal"/>
    <w:link w:val="BalloonTextChar"/>
    <w:uiPriority w:val="99"/>
    <w:semiHidden/>
    <w:unhideWhenUsed/>
    <w:rsid w:val="003478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88C"/>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money/2019/09/06/trump-payroll-tax-cut-how-affects-social-security-your-retirement/2224436001/" TargetMode="External"/><Relationship Id="rId13" Type="http://schemas.openxmlformats.org/officeDocument/2006/relationships/hyperlink" Target="https://www.fool.com/retirement/2019/05/02/heres-how-social-security-collected-more-than-1-tr.asp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rs.gov/businesses/small-businesses-self-employed/questions-and-answers-for-the-additional-medicare-tax?mod=article_inline" TargetMode="External"/><Relationship Id="rId12" Type="http://schemas.openxmlformats.org/officeDocument/2006/relationships/hyperlink" Target="https://www.usatoday.com/story/money/2019/09/06/trump-payroll-tax-cut-how-affects-social-security-your-retirement/2224436001/" TargetMode="External"/><Relationship Id="rId17" Type="http://schemas.openxmlformats.org/officeDocument/2006/relationships/hyperlink" Target="https://www.wsj.com/articles/u-s-treasury-likely-to-push-back-april-15-tax-filing-deadline-sources-11583897351?mod=hp_lead_pos5" TargetMode="External"/><Relationship Id="rId2" Type="http://schemas.openxmlformats.org/officeDocument/2006/relationships/settings" Target="settings.xml"/><Relationship Id="rId16" Type="http://schemas.openxmlformats.org/officeDocument/2006/relationships/hyperlink" Target="https://www.washingtonexaminer.com/news/treasury-eyes-delaying-april-15-tax-deadline-due-to-coronavirus" TargetMode="External"/><Relationship Id="rId1" Type="http://schemas.openxmlformats.org/officeDocument/2006/relationships/styles" Target="styles.xml"/><Relationship Id="rId6" Type="http://schemas.openxmlformats.org/officeDocument/2006/relationships/hyperlink" Target="https://www.irs.gov/taxtopics/tc751?mod=article_inline" TargetMode="External"/><Relationship Id="rId11" Type="http://schemas.openxmlformats.org/officeDocument/2006/relationships/hyperlink" Target="https://www.marketwatch.com/story/this-is-exactly-how-much-a-payroll-tax-cut-would-help-the-average-american-2019-08-21?mod=article_inline" TargetMode="External"/><Relationship Id="rId5" Type="http://schemas.openxmlformats.org/officeDocument/2006/relationships/image" Target="media/image2.jpeg"/><Relationship Id="rId15" Type="http://schemas.openxmlformats.org/officeDocument/2006/relationships/hyperlink" Target="https://www.nytimes.com/2020/03/11/us/politics/treasury-irs-delay-tax-day-coronavirus.html?te=1&amp;nl=morning-briefing&amp;emc=edit_NN_p_20200311&amp;section=topNews&amp;campaign_id=9&amp;instance_id=16646&amp;segment_id=22075&amp;user_id=6f885fcaf320d8eec61e9229ffd51bd8&amp;regi_id=99731312tion=topNews" TargetMode="External"/><Relationship Id="rId10" Type="http://schemas.openxmlformats.org/officeDocument/2006/relationships/hyperlink" Target="https://www.marketwatch.com/story/trump-proposes-payroll-tax-cuts-to-boost-the-economy-during-the-coronavirus-epidemic-but-would-it-really-work-2020-03-11?mod=newsviewer_click"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fool.com/retirement/2018/11/08/quantifying-social-securitys-impact-on-poverty.aspx" TargetMode="External"/><Relationship Id="rId14" Type="http://schemas.openxmlformats.org/officeDocument/2006/relationships/hyperlink" Target="https://www.marketwatch.com/story/trump-proposes-payroll-tax-cuts-to-boost-the-economy-during-the-coronavirus-epidemic-but-would-it-really-work-2020-03-11?mod=newsviewer_cl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1251</Words>
  <Characters>7134</Characters>
  <Application>Microsoft Office Word</Application>
  <DocSecurity>0</DocSecurity>
  <Lines>59</Lines>
  <Paragraphs>16</Paragraphs>
  <ScaleCrop>false</ScaleCrop>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Owen</dc:creator>
  <cp:keywords/>
  <dc:description/>
  <cp:lastModifiedBy>Sissy Owen</cp:lastModifiedBy>
  <cp:revision>1</cp:revision>
  <cp:lastPrinted>2020-03-12T11:02:00Z</cp:lastPrinted>
  <dcterms:created xsi:type="dcterms:W3CDTF">2020-03-12T10:54:00Z</dcterms:created>
  <dcterms:modified xsi:type="dcterms:W3CDTF">2020-03-12T11:03:00Z</dcterms:modified>
</cp:coreProperties>
</file>