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F3" w:rsidRDefault="009B6EF3" w:rsidP="009B6EF3">
      <w:pPr>
        <w:jc w:val="center"/>
        <w:rPr>
          <w:b/>
        </w:rPr>
      </w:pPr>
      <w:r>
        <w:rPr>
          <w:b/>
        </w:rPr>
        <w:t xml:space="preserve">    </w:t>
      </w:r>
      <w:r w:rsidR="00FA48DF" w:rsidRPr="00FA48DF">
        <w:rPr>
          <w:b/>
          <w:noProof/>
        </w:rPr>
        <w:drawing>
          <wp:inline distT="0" distB="0" distL="0" distR="0" wp14:anchorId="5C05C8BD" wp14:editId="64F2DE76">
            <wp:extent cx="2933699" cy="1466850"/>
            <wp:effectExtent l="0" t="0" r="635" b="0"/>
            <wp:docPr id="4" name="Picture 4"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4473" cy="1467237"/>
                    </a:xfrm>
                    <a:prstGeom prst="rect">
                      <a:avLst/>
                    </a:prstGeom>
                    <a:noFill/>
                    <a:ln>
                      <a:noFill/>
                    </a:ln>
                  </pic:spPr>
                </pic:pic>
              </a:graphicData>
            </a:graphic>
          </wp:inline>
        </w:drawing>
      </w:r>
      <w:r w:rsidR="00FA48DF">
        <w:rPr>
          <w:b/>
        </w:rPr>
        <w:t xml:space="preserve">                   </w:t>
      </w:r>
      <w:r w:rsidR="00FA48DF" w:rsidRPr="00FA48DF">
        <w:rPr>
          <w:noProof/>
        </w:rPr>
        <w:drawing>
          <wp:inline distT="0" distB="0" distL="0" distR="0">
            <wp:extent cx="838200" cy="838200"/>
            <wp:effectExtent l="0" t="0" r="0" b="0"/>
            <wp:docPr id="3" name="Picture 3"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qr-code (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noProof/>
        </w:rPr>
        <w:drawing>
          <wp:inline distT="0" distB="0" distL="0" distR="0">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9B6EF3" w:rsidRDefault="009B6EF3" w:rsidP="009B6EF3">
      <w:pPr>
        <w:jc w:val="center"/>
        <w:rPr>
          <w:b/>
        </w:rPr>
      </w:pPr>
    </w:p>
    <w:p w:rsidR="009B6EF3" w:rsidRDefault="009B6EF3" w:rsidP="009B6EF3">
      <w:pPr>
        <w:jc w:val="center"/>
        <w:rPr>
          <w:rFonts w:ascii="Bookman Old Style" w:hAnsi="Bookman Old Style"/>
          <w:b/>
          <w:u w:val="single"/>
        </w:rPr>
      </w:pPr>
      <w:r>
        <w:rPr>
          <w:rFonts w:ascii="Bookman Old Style" w:hAnsi="Bookman Old Style"/>
          <w:b/>
          <w:sz w:val="32"/>
        </w:rPr>
        <w:t>POSTCARD PARTY 163           MARCH 6, 2020</w:t>
      </w:r>
    </w:p>
    <w:p w:rsidR="009B6EF3" w:rsidRDefault="009B6EF3" w:rsidP="009B6EF3">
      <w:pPr>
        <w:jc w:val="center"/>
        <w:rPr>
          <w:rFonts w:ascii="Bookman Old Style" w:hAnsi="Bookman Old Style"/>
          <w:b/>
          <w:u w:val="single"/>
        </w:rPr>
      </w:pPr>
    </w:p>
    <w:p w:rsidR="009B6EF3" w:rsidRDefault="009B6EF3" w:rsidP="009B6EF3">
      <w:r>
        <w:rPr>
          <w:b/>
          <w:sz w:val="28"/>
        </w:rPr>
        <w:t>National</w:t>
      </w:r>
    </w:p>
    <w:p w:rsidR="009B6EF3" w:rsidRDefault="009B6EF3" w:rsidP="009B6EF3"/>
    <w:p w:rsidR="009B6EF3" w:rsidRDefault="009B6EF3" w:rsidP="009B6EF3">
      <w:pPr>
        <w:pStyle w:val="BodyText"/>
        <w:widowControl w:val="0"/>
        <w:spacing w:after="0" w:line="100" w:lineRule="atLeast"/>
        <w:rPr>
          <w:rFonts w:ascii="Times New Roman" w:hAnsi="Times New Roman"/>
          <w:sz w:val="22"/>
        </w:rPr>
      </w:pPr>
      <w:r>
        <w:rPr>
          <w:rFonts w:ascii="Times New Roman" w:hAnsi="Times New Roman"/>
          <w:b/>
          <w:sz w:val="22"/>
        </w:rPr>
        <w:t>NEW LEGISLATION PACKAGE PRESENTS A PATH TO PEACE</w:t>
      </w:r>
    </w:p>
    <w:p w:rsidR="009B6EF3" w:rsidRDefault="009B6EF3" w:rsidP="009B6EF3">
      <w:pPr>
        <w:pStyle w:val="BodyText"/>
        <w:widowControl w:val="0"/>
        <w:spacing w:after="0" w:line="100" w:lineRule="atLeast"/>
        <w:rPr>
          <w:rFonts w:ascii="Times New Roman" w:hAnsi="Times New Roman"/>
          <w:sz w:val="22"/>
        </w:rPr>
      </w:pPr>
      <w:r>
        <w:rPr>
          <w:rFonts w:ascii="Times New Roman" w:hAnsi="Times New Roman"/>
          <w:sz w:val="22"/>
        </w:rPr>
        <w:t xml:space="preserve">Onetime war refugee and Minnesota Progressive Rep. Ilhan Omar offered seven bills last month to shape a more constructive American path, to avoid and mitigate conflicts. A </w:t>
      </w:r>
      <w:r>
        <w:rPr>
          <w:rFonts w:ascii="Times New Roman" w:hAnsi="Times New Roman"/>
          <w:b/>
          <w:sz w:val="22"/>
        </w:rPr>
        <w:t xml:space="preserve">Stop Arming Human Rights Abusers Act </w:t>
      </w:r>
      <w:r>
        <w:rPr>
          <w:rFonts w:ascii="Times New Roman" w:hAnsi="Times New Roman"/>
          <w:sz w:val="22"/>
        </w:rPr>
        <w:t xml:space="preserve">(HR 5880) would define and recognize levels of gross human rights or humanitarian law violation. Crossing these lines triggers prohibition of security aid, arms sales when enabled by the U.S. government, or law enforcement exchanges. A </w:t>
      </w:r>
      <w:r>
        <w:rPr>
          <w:rFonts w:ascii="Times New Roman" w:hAnsi="Times New Roman"/>
          <w:b/>
          <w:sz w:val="22"/>
        </w:rPr>
        <w:t xml:space="preserve">Global Migration Agreement Act </w:t>
      </w:r>
      <w:r>
        <w:rPr>
          <w:rFonts w:ascii="Times New Roman" w:hAnsi="Times New Roman"/>
          <w:sz w:val="22"/>
        </w:rPr>
        <w:t xml:space="preserve">(HR 5878) tells the State Dept. and the U.N. Ambassador to take the lead in developing international ties governing global migrations. A </w:t>
      </w:r>
      <w:r>
        <w:rPr>
          <w:rFonts w:ascii="Times New Roman" w:hAnsi="Times New Roman"/>
          <w:b/>
          <w:sz w:val="22"/>
        </w:rPr>
        <w:t xml:space="preserve">Congressional Oversight of Sanctions Act </w:t>
      </w:r>
      <w:r>
        <w:rPr>
          <w:rFonts w:ascii="Times New Roman" w:hAnsi="Times New Roman"/>
          <w:sz w:val="22"/>
        </w:rPr>
        <w:t xml:space="preserve">(HR 5879) requires joint-resolution approval of any economic-emergency sanction within 60 days of the next sitting of Congress, and subjects sanctions now in force to Congressional renewal. Two resolutions would ratify the </w:t>
      </w:r>
      <w:r>
        <w:rPr>
          <w:rFonts w:ascii="Times New Roman" w:hAnsi="Times New Roman"/>
          <w:b/>
          <w:sz w:val="22"/>
        </w:rPr>
        <w:t xml:space="preserve">U.N. Convention on the Rights of the Child </w:t>
      </w:r>
      <w:r>
        <w:rPr>
          <w:rFonts w:ascii="Times New Roman" w:hAnsi="Times New Roman"/>
          <w:sz w:val="22"/>
        </w:rPr>
        <w:t xml:space="preserve">(H. Res. 854; the U.S. is alone in holding back on this) and restore U.S. support to enable the </w:t>
      </w:r>
      <w:r>
        <w:rPr>
          <w:rFonts w:ascii="Times New Roman" w:hAnsi="Times New Roman"/>
          <w:b/>
          <w:sz w:val="22"/>
        </w:rPr>
        <w:t xml:space="preserve">Rome Statute/International Criminal Court </w:t>
      </w:r>
      <w:r>
        <w:rPr>
          <w:rFonts w:ascii="Times New Roman" w:hAnsi="Times New Roman"/>
          <w:sz w:val="22"/>
        </w:rPr>
        <w:t>(H. Res. 855)</w:t>
      </w:r>
      <w:r>
        <w:rPr>
          <w:rFonts w:ascii="Times New Roman" w:hAnsi="Times New Roman"/>
          <w:b/>
          <w:sz w:val="22"/>
        </w:rPr>
        <w:t xml:space="preserve">, </w:t>
      </w:r>
      <w:r>
        <w:rPr>
          <w:rFonts w:ascii="Times New Roman" w:hAnsi="Times New Roman"/>
          <w:sz w:val="22"/>
        </w:rPr>
        <w:t xml:space="preserve">a controversial body that has indicted the former dictator of Sudan, Ugandan rebel leader Joseph Kony and over 40 others. Omar argues that ‘we can improve the court by being members of it’, a reversal of Trump Administration visa and economic restrictions on court activity. A bill (HR 5877) would internationalize the well regarded </w:t>
      </w:r>
      <w:r>
        <w:rPr>
          <w:rFonts w:ascii="Times New Roman" w:hAnsi="Times New Roman"/>
          <w:b/>
          <w:sz w:val="22"/>
        </w:rPr>
        <w:t xml:space="preserve">Youthbuild Program </w:t>
      </w:r>
      <w:r>
        <w:rPr>
          <w:rFonts w:ascii="Times New Roman" w:hAnsi="Times New Roman"/>
          <w:sz w:val="22"/>
        </w:rPr>
        <w:t>to enhance opportunities for disadvantaged persons to attain self-sufficiency. A</w:t>
      </w:r>
      <w:r>
        <w:rPr>
          <w:rFonts w:ascii="Times New Roman" w:hAnsi="Times New Roman"/>
          <w:b/>
          <w:sz w:val="22"/>
        </w:rPr>
        <w:t xml:space="preserve">Global Peacebuilding Act </w:t>
      </w:r>
      <w:r>
        <w:rPr>
          <w:rFonts w:ascii="Times New Roman" w:hAnsi="Times New Roman"/>
          <w:sz w:val="22"/>
        </w:rPr>
        <w:t xml:space="preserve">(HR 5948) would move $5 billion from Pentagon contingency funds to create a ‘Global’ multilateral fund as ‘an effective alternative to military intimidation and coercion’. </w:t>
      </w:r>
    </w:p>
    <w:p w:rsidR="009B6EF3" w:rsidRDefault="009B6EF3" w:rsidP="009B6EF3">
      <w:pPr>
        <w:pStyle w:val="BodyText"/>
        <w:widowControl w:val="0"/>
        <w:spacing w:after="0" w:line="100" w:lineRule="atLeast"/>
        <w:rPr>
          <w:rFonts w:ascii="Times New Roman" w:hAnsi="Times New Roman"/>
          <w:sz w:val="22"/>
        </w:rPr>
      </w:pPr>
      <w:r>
        <w:rPr>
          <w:rFonts w:ascii="Times New Roman" w:hAnsi="Times New Roman"/>
          <w:sz w:val="22"/>
        </w:rPr>
        <w:t xml:space="preserve">Many or all of these bills are in the House Foreign Affairs Committee where Omar is a member. </w:t>
      </w:r>
      <w:r>
        <w:rPr>
          <w:rFonts w:ascii="Times New Roman" w:hAnsi="Times New Roman"/>
          <w:b/>
          <w:sz w:val="22"/>
        </w:rPr>
        <w:t>Eliot Engel</w:t>
      </w:r>
      <w:r>
        <w:rPr>
          <w:rFonts w:ascii="Times New Roman" w:hAnsi="Times New Roman"/>
          <w:sz w:val="22"/>
        </w:rPr>
        <w:t xml:space="preserve"> (D-NY) is committee chair.  </w:t>
      </w:r>
      <w:r>
        <w:rPr>
          <w:rFonts w:ascii="Times New Roman" w:hAnsi="Times New Roman"/>
          <w:b/>
          <w:sz w:val="22"/>
        </w:rPr>
        <w:t>Contact him and Rep. Meadows.</w:t>
      </w:r>
    </w:p>
    <w:p w:rsidR="009B6EF3" w:rsidRDefault="009B6EF3" w:rsidP="009B6EF3">
      <w:pPr>
        <w:pStyle w:val="BodyText"/>
        <w:widowControl w:val="0"/>
        <w:spacing w:after="0" w:line="100" w:lineRule="atLeast"/>
        <w:rPr>
          <w:rFonts w:ascii="Times New Roman" w:hAnsi="Times New Roman"/>
          <w:sz w:val="22"/>
        </w:rPr>
      </w:pPr>
    </w:p>
    <w:p w:rsidR="009B6EF3" w:rsidRDefault="009B6EF3" w:rsidP="009B6EF3">
      <w:pPr>
        <w:spacing w:line="100" w:lineRule="atLeast"/>
        <w:rPr>
          <w:rStyle w:val="Strong"/>
          <w:rFonts w:ascii="Times New Roman" w:hAnsi="Times New Roman"/>
          <w:sz w:val="22"/>
        </w:rPr>
      </w:pPr>
      <w:r>
        <w:rPr>
          <w:rFonts w:ascii="Times New Roman" w:hAnsi="Times New Roman"/>
          <w:b/>
          <w:sz w:val="22"/>
        </w:rPr>
        <w:t>From NC Progress Action 3/2/20</w:t>
      </w:r>
    </w:p>
    <w:p w:rsidR="009B6EF3" w:rsidRDefault="009B6EF3" w:rsidP="009B6EF3">
      <w:pPr>
        <w:pStyle w:val="BodyText"/>
        <w:spacing w:line="100" w:lineRule="atLeast"/>
        <w:rPr>
          <w:rFonts w:ascii="Times New Roman" w:hAnsi="Times New Roman"/>
          <w:sz w:val="22"/>
        </w:rPr>
      </w:pPr>
      <w:r>
        <w:rPr>
          <w:rStyle w:val="Strong"/>
          <w:rFonts w:ascii="Times New Roman" w:hAnsi="Times New Roman"/>
          <w:sz w:val="22"/>
        </w:rPr>
        <w:t>ICE raids increase in North Carolina as Trump weaponizes the DOJ</w:t>
      </w:r>
      <w:r>
        <w:rPr>
          <w:rFonts w:ascii="Times New Roman" w:hAnsi="Times New Roman"/>
          <w:sz w:val="22"/>
        </w:rPr>
        <w:br/>
        <w:t xml:space="preserve">North Carolina communities are taking a </w:t>
      </w:r>
      <w:r>
        <w:rPr>
          <w:rStyle w:val="Hyperlink"/>
          <w:rFonts w:ascii="Times New Roman" w:hAnsi="Times New Roman"/>
          <w:sz w:val="22"/>
        </w:rPr>
        <w:t>stance against Trump’s Immigration and Customs Enforcement</w:t>
      </w:r>
      <w:r>
        <w:rPr>
          <w:rFonts w:ascii="Times New Roman" w:hAnsi="Times New Roman"/>
          <w:sz w:val="22"/>
        </w:rPr>
        <w:t xml:space="preserve"> increased presence and arrests. Since January, ICE has targeted immigrants in 12 counties across the state. ICE agents detained 32 people, </w:t>
      </w:r>
      <w:r>
        <w:rPr>
          <w:rStyle w:val="Hyperlink"/>
          <w:rFonts w:ascii="Times New Roman" w:hAnsi="Times New Roman"/>
          <w:sz w:val="22"/>
        </w:rPr>
        <w:t>16 in Raleigh</w:t>
      </w:r>
      <w:r>
        <w:rPr>
          <w:rFonts w:ascii="Times New Roman" w:hAnsi="Times New Roman"/>
          <w:sz w:val="22"/>
        </w:rPr>
        <w:t xml:space="preserve">, prompting </w:t>
      </w:r>
      <w:r>
        <w:rPr>
          <w:rStyle w:val="Hyperlink"/>
          <w:rFonts w:ascii="Times New Roman" w:hAnsi="Times New Roman"/>
          <w:sz w:val="22"/>
        </w:rPr>
        <w:t>city leaders and immigrants</w:t>
      </w:r>
      <w:r>
        <w:rPr>
          <w:rFonts w:ascii="Times New Roman" w:hAnsi="Times New Roman"/>
          <w:sz w:val="22"/>
        </w:rPr>
        <w:t xml:space="preserve"> to speak out against their increased actions. Last week, the DOJ announced the official section that would strip citizenship from naturalized citizens.</w:t>
      </w:r>
    </w:p>
    <w:p w:rsidR="009B6EF3" w:rsidRDefault="009B6EF3" w:rsidP="009B6EF3">
      <w:pPr>
        <w:pStyle w:val="BodyText"/>
        <w:numPr>
          <w:ilvl w:val="0"/>
          <w:numId w:val="1"/>
        </w:numPr>
        <w:spacing w:line="100" w:lineRule="atLeast"/>
        <w:rPr>
          <w:rFonts w:ascii="Times New Roman" w:hAnsi="Times New Roman"/>
          <w:sz w:val="22"/>
        </w:rPr>
      </w:pPr>
      <w:r>
        <w:rPr>
          <w:rFonts w:ascii="Times New Roman" w:hAnsi="Times New Roman"/>
          <w:sz w:val="22"/>
        </w:rPr>
        <w:t>This move gives the Trump administration more power in their efforts to remove immigrants from the country.</w:t>
      </w:r>
    </w:p>
    <w:p w:rsidR="009B6EF3" w:rsidRDefault="009B6EF3" w:rsidP="009B6EF3">
      <w:pPr>
        <w:pStyle w:val="BodyText"/>
        <w:numPr>
          <w:ilvl w:val="0"/>
          <w:numId w:val="1"/>
        </w:numPr>
        <w:spacing w:line="100" w:lineRule="atLeast"/>
        <w:rPr>
          <w:rStyle w:val="Hyperlink"/>
          <w:rFonts w:ascii="Times New Roman" w:hAnsi="Times New Roman"/>
          <w:sz w:val="22"/>
        </w:rPr>
      </w:pPr>
      <w:r>
        <w:rPr>
          <w:rFonts w:ascii="Times New Roman" w:hAnsi="Times New Roman"/>
          <w:sz w:val="22"/>
        </w:rPr>
        <w:t>Since 2008, 40 percent of denaturalization cases that the department filed, were filed in 2017 -- when Trump assumed office.</w:t>
      </w:r>
    </w:p>
    <w:p w:rsidR="009B6EF3" w:rsidRDefault="009B6EF3" w:rsidP="009B6EF3">
      <w:pPr>
        <w:pStyle w:val="BodyText"/>
        <w:numPr>
          <w:ilvl w:val="0"/>
          <w:numId w:val="1"/>
        </w:numPr>
        <w:spacing w:line="100" w:lineRule="atLeast"/>
        <w:rPr>
          <w:rFonts w:ascii="Times New Roman" w:hAnsi="Times New Roman"/>
          <w:sz w:val="22"/>
        </w:rPr>
      </w:pPr>
      <w:r>
        <w:rPr>
          <w:rStyle w:val="Hyperlink"/>
          <w:rFonts w:ascii="Times New Roman" w:hAnsi="Times New Roman"/>
          <w:sz w:val="22"/>
        </w:rPr>
        <w:t>Data released</w:t>
      </w:r>
      <w:r>
        <w:rPr>
          <w:rFonts w:ascii="Times New Roman" w:hAnsi="Times New Roman"/>
          <w:sz w:val="22"/>
        </w:rPr>
        <w:t xml:space="preserve"> in 2019 by the U.S. Immigration and Customs Enforcement, found that ICE has steadily been arresting more immigrants who lack a criminal record.</w:t>
      </w:r>
    </w:p>
    <w:p w:rsidR="009B6EF3" w:rsidRDefault="009B6EF3" w:rsidP="00FA48DF">
      <w:pPr>
        <w:pStyle w:val="BodyText"/>
        <w:spacing w:line="100" w:lineRule="atLeast"/>
        <w:rPr>
          <w:rFonts w:ascii="Times New Roman" w:hAnsi="Times New Roman"/>
          <w:sz w:val="22"/>
        </w:rPr>
      </w:pPr>
      <w:bookmarkStart w:id="0" w:name="_GoBack"/>
      <w:bookmarkEnd w:id="0"/>
      <w:r>
        <w:rPr>
          <w:rFonts w:ascii="Times New Roman" w:hAnsi="Times New Roman"/>
          <w:sz w:val="22"/>
        </w:rPr>
        <w:lastRenderedPageBreak/>
        <w:t xml:space="preserve">In the past two years, the percentage of those arrested who lack criminal convictions or pending charges, are up </w:t>
      </w:r>
      <w:r>
        <w:rPr>
          <w:rStyle w:val="Hyperlink"/>
          <w:rFonts w:ascii="Times New Roman" w:hAnsi="Times New Roman"/>
          <w:sz w:val="22"/>
        </w:rPr>
        <w:t>almost 50 percent for the Southeast</w:t>
      </w:r>
      <w:r>
        <w:rPr>
          <w:rFonts w:ascii="Times New Roman" w:hAnsi="Times New Roman"/>
          <w:sz w:val="22"/>
        </w:rPr>
        <w:t xml:space="preserve">. </w:t>
      </w:r>
    </w:p>
    <w:p w:rsidR="009B6EF3" w:rsidRDefault="009B6EF3" w:rsidP="009B6EF3">
      <w:pPr>
        <w:pStyle w:val="BodyText"/>
        <w:spacing w:line="100" w:lineRule="atLeast"/>
        <w:rPr>
          <w:rFonts w:ascii="Times New Roman" w:hAnsi="Times New Roman"/>
          <w:sz w:val="22"/>
        </w:rPr>
      </w:pPr>
      <w:r>
        <w:rPr>
          <w:rFonts w:ascii="Times New Roman" w:hAnsi="Times New Roman"/>
          <w:sz w:val="22"/>
        </w:rPr>
        <w:t>Trump’s efforts violate</w:t>
      </w:r>
      <w:r w:rsidR="00FA48DF">
        <w:rPr>
          <w:rFonts w:ascii="Times New Roman" w:hAnsi="Times New Roman"/>
          <w:sz w:val="22"/>
        </w:rPr>
        <w:t> the</w:t>
      </w:r>
      <w:r>
        <w:rPr>
          <w:rFonts w:ascii="Times New Roman" w:hAnsi="Times New Roman"/>
          <w:sz w:val="22"/>
        </w:rPr>
        <w:t xml:space="preserve"> constitutional rights and safeguards that are meant to prevent arbitrary and abusive use of denaturalization.   </w:t>
      </w:r>
      <w:r>
        <w:rPr>
          <w:rFonts w:ascii="Times New Roman" w:hAnsi="Times New Roman"/>
          <w:b/>
          <w:sz w:val="22"/>
        </w:rPr>
        <w:t>Contact your MOCs to express your opinion.</w:t>
      </w:r>
    </w:p>
    <w:p w:rsidR="009B6EF3" w:rsidRDefault="009B6EF3" w:rsidP="009B6EF3">
      <w:pPr>
        <w:spacing w:line="100" w:lineRule="atLeast"/>
        <w:rPr>
          <w:rFonts w:ascii="Times New Roman" w:hAnsi="Times New Roman"/>
          <w:sz w:val="22"/>
        </w:rPr>
      </w:pPr>
    </w:p>
    <w:p w:rsidR="009B6EF3" w:rsidRDefault="009B6EF3" w:rsidP="009B6EF3">
      <w:pPr>
        <w:spacing w:line="100" w:lineRule="atLeast"/>
        <w:rPr>
          <w:rFonts w:ascii="Times New Roman" w:hAnsi="Times New Roman"/>
          <w:sz w:val="22"/>
        </w:rPr>
      </w:pPr>
      <w:r>
        <w:rPr>
          <w:rFonts w:ascii="Times New Roman" w:hAnsi="Times New Roman"/>
          <w:b/>
          <w:sz w:val="28"/>
        </w:rPr>
        <w:t xml:space="preserve">North Carolina  </w:t>
      </w:r>
    </w:p>
    <w:p w:rsidR="009B6EF3" w:rsidRDefault="009B6EF3" w:rsidP="009B6EF3">
      <w:pPr>
        <w:spacing w:line="100" w:lineRule="atLeast"/>
        <w:rPr>
          <w:rFonts w:ascii="Times New Roman" w:hAnsi="Times New Roman"/>
          <w:sz w:val="22"/>
        </w:rPr>
      </w:pPr>
    </w:p>
    <w:p w:rsidR="009B6EF3" w:rsidRDefault="009B6EF3" w:rsidP="009B6EF3">
      <w:pPr>
        <w:spacing w:line="100" w:lineRule="atLeast"/>
        <w:rPr>
          <w:rFonts w:ascii="Times New Roman" w:hAnsi="Times New Roman"/>
          <w:sz w:val="22"/>
        </w:rPr>
      </w:pPr>
      <w:r>
        <w:rPr>
          <w:rFonts w:ascii="Times New Roman" w:hAnsi="Times New Roman"/>
          <w:b/>
          <w:sz w:val="22"/>
        </w:rPr>
        <w:t>SAFEGUARD OUR DRINKING WATER</w:t>
      </w:r>
    </w:p>
    <w:p w:rsidR="009B6EF3" w:rsidRDefault="009B6EF3" w:rsidP="009B6EF3">
      <w:pPr>
        <w:pStyle w:val="BodyText"/>
        <w:widowControl w:val="0"/>
        <w:spacing w:after="0" w:line="100" w:lineRule="atLeast"/>
        <w:rPr>
          <w:rFonts w:ascii="Times New Roman" w:hAnsi="Times New Roman"/>
          <w:sz w:val="22"/>
        </w:rPr>
      </w:pPr>
      <w:r>
        <w:rPr>
          <w:rFonts w:ascii="Times New Roman" w:hAnsi="Times New Roman"/>
          <w:sz w:val="22"/>
        </w:rPr>
        <w:t xml:space="preserve">Coastal North Carolina around Wilmington has seen heavy coverage of contaminant GEN-X, a chemical made by Chemours, a spin-off of DuPont, used in making Teflon-like products near Fayetteville. GEN-X is currently in excess of the current State standard of 70 parts per trillion in much of Brunswick and New Hanover counties’ waters. In Charlotte, Albemarle, Fayetteville, Raleigh, Holly Springs, Sanford, Dunn, Goldsboro and Greenville other PFAS compounds exceed the state standard. Near the Wilmington drinking water intake levels of nearly 2000 times the state standard have been measured. GEN-X is a PFAS compound of great stability and newly recognized toxicity: There are about 175 such compounds known, and toxicologists hope to limit production and dispersion of the whole class of these chemicals. </w:t>
      </w:r>
      <w:r>
        <w:rPr>
          <w:rFonts w:ascii="Times New Roman" w:hAnsi="Times New Roman"/>
          <w:b/>
          <w:sz w:val="22"/>
        </w:rPr>
        <w:t>The House has passed the PFAS Action</w:t>
      </w:r>
      <w:r>
        <w:rPr>
          <w:rFonts w:ascii="Times New Roman" w:hAnsi="Times New Roman"/>
          <w:sz w:val="22"/>
        </w:rPr>
        <w:t xml:space="preserve"> </w:t>
      </w:r>
      <w:r>
        <w:rPr>
          <w:rFonts w:ascii="Times New Roman" w:hAnsi="Times New Roman"/>
          <w:b/>
          <w:sz w:val="22"/>
        </w:rPr>
        <w:t xml:space="preserve">Act of 2019 </w:t>
      </w:r>
      <w:r>
        <w:rPr>
          <w:rFonts w:ascii="Times New Roman" w:hAnsi="Times New Roman"/>
          <w:sz w:val="22"/>
        </w:rPr>
        <w:t>as a first effort at control, HR 535</w:t>
      </w:r>
      <w:r>
        <w:rPr>
          <w:rFonts w:ascii="Times New Roman" w:hAnsi="Times New Roman"/>
          <w:b/>
          <w:sz w:val="22"/>
        </w:rPr>
        <w:t xml:space="preserve">. </w:t>
      </w:r>
      <w:r>
        <w:rPr>
          <w:rFonts w:ascii="Times New Roman" w:hAnsi="Times New Roman"/>
          <w:sz w:val="22"/>
        </w:rPr>
        <w:t xml:space="preserve">Late last year the House attached PFAS regulation into the must-pass Nat’l Defense Authorization Act, but it was stripped out in conference. </w:t>
      </w:r>
    </w:p>
    <w:p w:rsidR="009B6EF3" w:rsidRDefault="009B6EF3" w:rsidP="009B6EF3">
      <w:pPr>
        <w:spacing w:line="100" w:lineRule="atLeast"/>
        <w:rPr>
          <w:rFonts w:ascii="Times New Roman" w:hAnsi="Times New Roman"/>
          <w:sz w:val="22"/>
        </w:rPr>
      </w:pPr>
    </w:p>
    <w:p w:rsidR="009B6EF3" w:rsidRDefault="009B6EF3" w:rsidP="009B6EF3">
      <w:pPr>
        <w:spacing w:line="100" w:lineRule="atLeast"/>
        <w:rPr>
          <w:rFonts w:ascii="Times New Roman" w:hAnsi="Times New Roman"/>
          <w:sz w:val="22"/>
        </w:rPr>
      </w:pPr>
      <w:r>
        <w:rPr>
          <w:rFonts w:ascii="Times New Roman" w:hAnsi="Times New Roman"/>
          <w:sz w:val="22"/>
        </w:rPr>
        <w:t xml:space="preserve">HR 535 has been referred to Senate Committee on Environment and Public Works. Its subcommittee on Waste Management has nine members. Subcommittee member </w:t>
      </w:r>
      <w:r>
        <w:rPr>
          <w:rFonts w:ascii="Times New Roman" w:hAnsi="Times New Roman"/>
          <w:b/>
          <w:sz w:val="22"/>
        </w:rPr>
        <w:t>Sen. Richard Shelby (R-AL), should be reminded</w:t>
      </w:r>
      <w:r>
        <w:rPr>
          <w:rFonts w:ascii="Times New Roman" w:hAnsi="Times New Roman"/>
          <w:sz w:val="22"/>
        </w:rPr>
        <w:t xml:space="preserve"> that his state includes many known areas of PFAS contamination in water, including in the communities of Trinity, Hatton, Moulton, Florence, Huntsville (airport), Cullman, Albertville, Gadsden, Rainbow City, Southside, Birmingham (airport), Westover, Clanton, Prattville and Millbrook. Minority subcommittee members Sens. Cory Booker (NJ), Kirsten Gillibrand (NY), Edward Markey (MA) and ranking member Thomas R. Carper (DE), may also be asked to encourage subcommittee chair Sen. Mike Rounds (R-SD) to bring this bill forward. As much of the use of PFAS has to do with military air safety (“foaming the runway” involves use of PFAS compounds), please consider supporting research into safer alternatives</w:t>
      </w:r>
    </w:p>
    <w:p w:rsidR="009B6EF3" w:rsidRDefault="009B6EF3" w:rsidP="009B6EF3">
      <w:pPr>
        <w:spacing w:line="100" w:lineRule="atLeast"/>
        <w:rPr>
          <w:rFonts w:ascii="Times New Roman" w:hAnsi="Times New Roman"/>
          <w:sz w:val="22"/>
        </w:rPr>
      </w:pPr>
    </w:p>
    <w:p w:rsidR="009B6EF3" w:rsidRDefault="009B6EF3" w:rsidP="009B6EF3">
      <w:pPr>
        <w:pStyle w:val="BodyText"/>
        <w:spacing w:after="225" w:line="100" w:lineRule="atLeast"/>
        <w:rPr>
          <w:rFonts w:ascii="Times New Roman" w:hAnsi="Times New Roman"/>
          <w:sz w:val="22"/>
        </w:rPr>
      </w:pPr>
      <w:r>
        <w:rPr>
          <w:rFonts w:ascii="Times New Roman" w:hAnsi="Times New Roman"/>
          <w:b/>
          <w:sz w:val="22"/>
        </w:rPr>
        <w:t>By Kirk Ross, Carolina Public Press, </w:t>
      </w:r>
      <w:r>
        <w:rPr>
          <w:rFonts w:ascii="Times New Roman" w:hAnsi="Times New Roman"/>
          <w:b/>
          <w:color w:val="808080"/>
          <w:sz w:val="22"/>
        </w:rPr>
        <w:t>Published: March 3, 2020</w:t>
      </w:r>
    </w:p>
    <w:p w:rsidR="009B6EF3" w:rsidRDefault="009B6EF3" w:rsidP="009B6EF3">
      <w:pPr>
        <w:pStyle w:val="BodyText"/>
        <w:spacing w:after="225" w:line="100" w:lineRule="atLeast"/>
        <w:rPr>
          <w:rFonts w:ascii="Times New Roman" w:hAnsi="Times New Roman"/>
          <w:sz w:val="22"/>
        </w:rPr>
      </w:pPr>
      <w:r>
        <w:rPr>
          <w:rFonts w:ascii="Times New Roman" w:hAnsi="Times New Roman"/>
          <w:sz w:val="22"/>
        </w:rPr>
        <w:t xml:space="preserve"> A new N.C. House committee, charged with reviewing local residential permitting and planning, opened hearings last week with an aim to “streamline” permitting and create a more uniform approach across the state. Rep. Mark Brody, R-Union, who chairs the new House Select Committee on Residential Planning and Permitting, said he intends to file a bill in the upcoming short session to reduce the amount of regulations imposed on developers and builders by local governments.</w:t>
      </w:r>
    </w:p>
    <w:p w:rsidR="009B6EF3" w:rsidRDefault="009B6EF3" w:rsidP="009B6EF3">
      <w:pPr>
        <w:pStyle w:val="BodyText"/>
        <w:spacing w:after="225" w:line="100" w:lineRule="atLeast"/>
        <w:rPr>
          <w:rFonts w:ascii="Times New Roman" w:hAnsi="Times New Roman"/>
          <w:b/>
          <w:sz w:val="22"/>
        </w:rPr>
      </w:pPr>
      <w:r>
        <w:rPr>
          <w:rFonts w:ascii="Times New Roman" w:hAnsi="Times New Roman"/>
          <w:sz w:val="22"/>
        </w:rPr>
        <w:t>Local governments are abusing the permitting authority given to them under conditional use permits and other planning tools, Brody told Carolina Public Press in an interview after the committee’s initial hearing last week. Brody, who is a licensed general contractor, said the state needs a more uniform approach to give builders and developers more certainty going into a project. Right now, he said, local governments aren’t constrained.</w:t>
      </w:r>
    </w:p>
    <w:p w:rsidR="009B6EF3" w:rsidRDefault="009B6EF3" w:rsidP="009B6EF3">
      <w:pPr>
        <w:pStyle w:val="BodyText"/>
        <w:spacing w:after="225" w:line="100" w:lineRule="atLeast"/>
      </w:pPr>
      <w:r>
        <w:rPr>
          <w:rFonts w:ascii="Times New Roman" w:hAnsi="Times New Roman"/>
          <w:b/>
          <w:sz w:val="22"/>
        </w:rPr>
        <w:t xml:space="preserve">Action:  Contact Rep. McGrady and Sen. Edwards to protest this effort by developers to forbid localities from setting their own, higher standards than the NCGA allows. </w:t>
      </w:r>
    </w:p>
    <w:p w:rsidR="00B24589" w:rsidRDefault="00B24589"/>
    <w:sectPr w:rsidR="00B24589" w:rsidSect="009B6EF3">
      <w:footnotePr>
        <w:pos w:val="beneathText"/>
      </w:footnotePr>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0621D"/>
    <w:multiLevelType w:val="singleLevel"/>
    <w:tmpl w:val="1A429E5E"/>
    <w:lvl w:ilvl="0">
      <w:start w:val="1"/>
      <w:numFmt w:val="decimal"/>
      <w:lvlText w:val="%1"/>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F3"/>
    <w:rsid w:val="009B6EF3"/>
    <w:rsid w:val="00B24589"/>
    <w:rsid w:val="00FA48DF"/>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F4076-0EE6-4118-804A-2E3B502C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F3"/>
    <w:pPr>
      <w:suppressAutoHyphens/>
      <w:overflowPunct w:val="0"/>
      <w:autoSpaceDE w:val="0"/>
      <w:autoSpaceDN w:val="0"/>
      <w:adjustRightInd w:val="0"/>
      <w:spacing w:after="0" w:line="240" w:lineRule="auto"/>
      <w:textAlignment w:val="baseline"/>
    </w:pPr>
    <w:rPr>
      <w:rFonts w:ascii="Calibri" w:eastAsia="Times New Roman" w:hAnsi="Calibri" w:cs="Times New Roman"/>
      <w:color w:val="000000"/>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B6EF3"/>
    <w:rPr>
      <w:noProof w:val="0"/>
      <w:color w:val="008080"/>
      <w:u w:val="single"/>
      <w:lang/>
    </w:rPr>
  </w:style>
  <w:style w:type="character" w:styleId="Strong">
    <w:name w:val="Strong"/>
    <w:qFormat/>
    <w:rsid w:val="009B6EF3"/>
    <w:rPr>
      <w:b/>
    </w:rPr>
  </w:style>
  <w:style w:type="paragraph" w:styleId="BodyText">
    <w:name w:val="Body Text"/>
    <w:basedOn w:val="Normal"/>
    <w:link w:val="BodyTextChar"/>
    <w:semiHidden/>
    <w:rsid w:val="009B6EF3"/>
    <w:pPr>
      <w:spacing w:after="140" w:line="276" w:lineRule="auto"/>
    </w:pPr>
  </w:style>
  <w:style w:type="character" w:customStyle="1" w:styleId="BodyTextChar">
    <w:name w:val="Body Text Char"/>
    <w:basedOn w:val="DefaultParagraphFont"/>
    <w:link w:val="BodyText"/>
    <w:semiHidden/>
    <w:rsid w:val="009B6EF3"/>
    <w:rPr>
      <w:rFonts w:ascii="Calibri" w:eastAsia="Times New Roman" w:hAnsi="Calibri" w:cs="Times New Roman"/>
      <w:color w:val="000000"/>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2</cp:revision>
  <dcterms:created xsi:type="dcterms:W3CDTF">2020-03-06T13:21:00Z</dcterms:created>
  <dcterms:modified xsi:type="dcterms:W3CDTF">2020-03-06T13:25:00Z</dcterms:modified>
</cp:coreProperties>
</file>